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06CFE862" w:rsidR="00045AA3" w:rsidRPr="00F84BF1" w:rsidRDefault="00045AA3"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3GPP TSG RAN WG1 Meeting #9</w:t>
      </w:r>
      <w:r w:rsidR="00F821C9">
        <w:rPr>
          <w:rFonts w:ascii="Times New Roman" w:hAnsi="Times New Roman" w:cs="Times New Roman"/>
          <w:lang w:val="en-US"/>
        </w:rPr>
        <w:t>9</w:t>
      </w:r>
      <w:r w:rsidRPr="00F84BF1">
        <w:rPr>
          <w:rFonts w:ascii="Times New Roman" w:hAnsi="Times New Roman" w:cs="Times New Roman"/>
          <w:lang w:val="en-US"/>
        </w:rPr>
        <w:tab/>
      </w:r>
      <w:r w:rsidR="00841A71" w:rsidRPr="00841A71">
        <w:rPr>
          <w:rFonts w:ascii="Times New Roman" w:hAnsi="Times New Roman" w:cs="Times New Roman"/>
          <w:lang w:val="en-US"/>
        </w:rPr>
        <w:t>R1-1912660</w:t>
      </w:r>
    </w:p>
    <w:p w14:paraId="7D622246" w14:textId="6F236CCB" w:rsidR="00F96D7F" w:rsidRPr="00F84BF1" w:rsidRDefault="00F821C9" w:rsidP="00656A2C">
      <w:pPr>
        <w:pStyle w:val="3GPPHeader"/>
        <w:spacing w:after="0"/>
        <w:rPr>
          <w:rFonts w:ascii="Times New Roman" w:hAnsi="Times New Roman" w:cs="Times New Roman"/>
          <w:lang w:val="en-US"/>
        </w:rPr>
      </w:pPr>
      <w:r>
        <w:rPr>
          <w:rFonts w:ascii="Times New Roman" w:hAnsi="Times New Roman" w:cs="Times New Roman"/>
          <w:lang w:val="en-US"/>
        </w:rPr>
        <w:t>Reno, USA</w:t>
      </w:r>
      <w:r w:rsidR="0084750B" w:rsidRPr="00F84BF1">
        <w:rPr>
          <w:rFonts w:ascii="Times New Roman" w:hAnsi="Times New Roman" w:cs="Times New Roman"/>
          <w:lang w:val="en-US"/>
        </w:rPr>
        <w:t>,</w:t>
      </w:r>
      <w:r w:rsidR="00C44DFB" w:rsidRPr="00F84BF1">
        <w:rPr>
          <w:rFonts w:ascii="Times New Roman" w:hAnsi="Times New Roman" w:cs="Times New Roman"/>
          <w:lang w:val="en-US"/>
        </w:rPr>
        <w:t xml:space="preserve"> </w:t>
      </w:r>
      <w:r w:rsidR="00111134" w:rsidRPr="00F84BF1">
        <w:rPr>
          <w:rFonts w:ascii="Times New Roman" w:hAnsi="Times New Roman" w:cs="Times New Roman"/>
          <w:lang w:val="en-US"/>
        </w:rPr>
        <w:t>1</w:t>
      </w:r>
      <w:r>
        <w:rPr>
          <w:rFonts w:ascii="Times New Roman" w:hAnsi="Times New Roman" w:cs="Times New Roman"/>
          <w:lang w:val="en-US"/>
        </w:rPr>
        <w:t>8</w:t>
      </w:r>
      <w:r w:rsidR="00C44DFB" w:rsidRPr="00F84BF1">
        <w:rPr>
          <w:rFonts w:ascii="Times New Roman" w:hAnsi="Times New Roman" w:cs="Times New Roman"/>
          <w:vertAlign w:val="superscript"/>
          <w:lang w:val="en-US"/>
        </w:rPr>
        <w:t>th</w:t>
      </w:r>
      <w:r w:rsidR="00C44DFB" w:rsidRPr="00F84BF1">
        <w:rPr>
          <w:rFonts w:ascii="Times New Roman" w:hAnsi="Times New Roman" w:cs="Times New Roman"/>
          <w:lang w:val="en-US"/>
        </w:rPr>
        <w:t xml:space="preserve"> -</w:t>
      </w:r>
      <w:r w:rsidR="00111134" w:rsidRPr="00F84BF1">
        <w:rPr>
          <w:rFonts w:ascii="Times New Roman" w:hAnsi="Times New Roman" w:cs="Times New Roman"/>
          <w:lang w:val="en-US"/>
        </w:rPr>
        <w:t>2</w:t>
      </w:r>
      <w:r>
        <w:rPr>
          <w:rFonts w:ascii="Times New Roman" w:hAnsi="Times New Roman" w:cs="Times New Roman"/>
          <w:lang w:val="en-US"/>
        </w:rPr>
        <w:t>2</w:t>
      </w:r>
      <w:r w:rsidR="00C44DFB" w:rsidRPr="00F84BF1">
        <w:rPr>
          <w:rFonts w:ascii="Times New Roman" w:hAnsi="Times New Roman" w:cs="Times New Roman"/>
          <w:vertAlign w:val="superscript"/>
          <w:lang w:val="en-US"/>
        </w:rPr>
        <w:t>th</w:t>
      </w:r>
      <w:r w:rsidR="00C44DFB" w:rsidRPr="00F84BF1">
        <w:rPr>
          <w:rFonts w:ascii="Times New Roman" w:hAnsi="Times New Roman" w:cs="Times New Roman"/>
          <w:lang w:val="en-US"/>
        </w:rPr>
        <w:t xml:space="preserve"> </w:t>
      </w:r>
      <w:r>
        <w:rPr>
          <w:rFonts w:ascii="Times New Roman" w:hAnsi="Times New Roman" w:cs="Times New Roman"/>
          <w:lang w:val="en-US"/>
        </w:rPr>
        <w:t>November</w:t>
      </w:r>
      <w:r w:rsidR="00C44DFB" w:rsidRPr="00F84BF1">
        <w:rPr>
          <w:rFonts w:ascii="Times New Roman" w:hAnsi="Times New Roman" w:cs="Times New Roman"/>
          <w:lang w:val="en-US"/>
        </w:rPr>
        <w:t xml:space="preserve"> 2019</w:t>
      </w:r>
    </w:p>
    <w:p w14:paraId="185ECFD2" w14:textId="77777777" w:rsidR="00904CFD" w:rsidRPr="00F84BF1" w:rsidRDefault="00904CFD" w:rsidP="00656A2C">
      <w:pPr>
        <w:pStyle w:val="3GPPHeader"/>
        <w:spacing w:after="0"/>
        <w:rPr>
          <w:rFonts w:ascii="Times New Roman" w:hAnsi="Times New Roman" w:cs="Times New Roman"/>
          <w:lang w:val="en-US"/>
        </w:rPr>
      </w:pPr>
    </w:p>
    <w:p w14:paraId="08577001" w14:textId="77777777" w:rsidR="00904CFD" w:rsidRPr="00F84BF1" w:rsidRDefault="00904CFD"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Source:</w:t>
      </w:r>
      <w:r w:rsidRPr="00F84BF1">
        <w:rPr>
          <w:rFonts w:ascii="Times New Roman" w:hAnsi="Times New Roman" w:cs="Times New Roman"/>
          <w:lang w:val="en-US"/>
        </w:rPr>
        <w:tab/>
        <w:t>Ericsson</w:t>
      </w:r>
    </w:p>
    <w:p w14:paraId="1D7086CA" w14:textId="75299FE3" w:rsidR="00904CFD" w:rsidRPr="00F84BF1" w:rsidRDefault="00904CFD"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Title:</w:t>
      </w:r>
      <w:r w:rsidRPr="00F84BF1">
        <w:rPr>
          <w:rFonts w:ascii="Times New Roman" w:hAnsi="Times New Roman" w:cs="Times New Roman"/>
          <w:lang w:val="en-US"/>
        </w:rPr>
        <w:tab/>
      </w:r>
      <w:r w:rsidR="00B05151" w:rsidRPr="00F84BF1">
        <w:rPr>
          <w:rFonts w:ascii="Times New Roman" w:hAnsi="Times New Roman" w:cs="Times New Roman"/>
          <w:lang w:val="en-US"/>
        </w:rPr>
        <w:t>Remaining details for</w:t>
      </w:r>
      <w:r w:rsidR="00E904FB" w:rsidRPr="00F84BF1">
        <w:rPr>
          <w:rFonts w:ascii="Times New Roman" w:hAnsi="Times New Roman" w:cs="Times New Roman"/>
          <w:lang w:val="en-US"/>
        </w:rPr>
        <w:t xml:space="preserve"> additional SRS symbols</w:t>
      </w:r>
    </w:p>
    <w:p w14:paraId="00EFAC0D" w14:textId="74168B57" w:rsidR="00904CFD" w:rsidRPr="00F84BF1" w:rsidRDefault="00904CFD"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Agenda Item:</w:t>
      </w:r>
      <w:r w:rsidRPr="00F84BF1">
        <w:rPr>
          <w:rFonts w:ascii="Times New Roman" w:hAnsi="Times New Roman" w:cs="Times New Roman"/>
          <w:lang w:val="en-US"/>
        </w:rPr>
        <w:tab/>
      </w:r>
      <w:r w:rsidR="00C6554C" w:rsidRPr="00F84BF1">
        <w:rPr>
          <w:rFonts w:ascii="Times New Roman" w:hAnsi="Times New Roman" w:cs="Times New Roman"/>
          <w:lang w:val="en-US"/>
        </w:rPr>
        <w:t>6.2.3.1.</w:t>
      </w:r>
      <w:r w:rsidR="00AD5203" w:rsidRPr="00F84BF1">
        <w:rPr>
          <w:rFonts w:ascii="Times New Roman" w:hAnsi="Times New Roman" w:cs="Times New Roman"/>
          <w:lang w:val="en-US"/>
        </w:rPr>
        <w:t>1</w:t>
      </w:r>
    </w:p>
    <w:p w14:paraId="05A826A0" w14:textId="77777777" w:rsidR="00904CFD" w:rsidRPr="00F84BF1" w:rsidRDefault="00904CFD"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Document for:</w:t>
      </w:r>
      <w:r w:rsidRPr="00F84BF1">
        <w:rPr>
          <w:rFonts w:ascii="Times New Roman" w:hAnsi="Times New Roman" w:cs="Times New Roman"/>
          <w:lang w:val="en-US"/>
        </w:rPr>
        <w:tab/>
        <w:t>Discussion and Decision</w:t>
      </w:r>
    </w:p>
    <w:p w14:paraId="72B2365A" w14:textId="0FF6DCDC" w:rsidR="00E90E49" w:rsidRDefault="007F75D5" w:rsidP="00CE0424">
      <w:pPr>
        <w:pStyle w:val="Heading1"/>
        <w:rPr>
          <w:rFonts w:ascii="Times New Roman" w:hAnsi="Times New Roman" w:cs="Times New Roman"/>
        </w:rPr>
      </w:pPr>
      <w:r w:rsidRPr="00656A2C">
        <w:rPr>
          <w:rFonts w:ascii="Times New Roman" w:hAnsi="Times New Roman" w:cs="Times New Roman"/>
        </w:rPr>
        <w:t>Introduction</w:t>
      </w:r>
    </w:p>
    <w:p w14:paraId="0AB5A934" w14:textId="0118CC5E" w:rsidR="00600208" w:rsidRPr="00F84BF1" w:rsidRDefault="00600208" w:rsidP="00600208">
      <w:pPr>
        <w:pStyle w:val="BodyText"/>
        <w:spacing w:after="240"/>
        <w:rPr>
          <w:rFonts w:cs="Times New Roman"/>
          <w:lang w:val="en-US"/>
        </w:rPr>
      </w:pPr>
      <w:r w:rsidRPr="00F84BF1">
        <w:rPr>
          <w:rFonts w:cs="Times New Roman"/>
          <w:lang w:val="en-US"/>
        </w:rPr>
        <w:t>In RAN1#9</w:t>
      </w:r>
      <w:r w:rsidR="003A3A0E">
        <w:rPr>
          <w:rFonts w:cs="Times New Roman"/>
          <w:lang w:val="en-US"/>
        </w:rPr>
        <w:t>8bis</w:t>
      </w:r>
      <w:r w:rsidRPr="00F84BF1">
        <w:rPr>
          <w:rFonts w:cs="Times New Roman"/>
          <w:lang w:val="en-US"/>
        </w:rPr>
        <w:t>, the following was</w:t>
      </w:r>
      <w:r w:rsidR="00C378F0" w:rsidRPr="00F84BF1">
        <w:rPr>
          <w:rFonts w:cs="Times New Roman"/>
          <w:lang w:val="en-US"/>
        </w:rPr>
        <w:t xml:space="preserve"> </w:t>
      </w:r>
      <w:r w:rsidR="00E40511">
        <w:rPr>
          <w:rFonts w:cs="Times New Roman"/>
          <w:lang w:val="en-US"/>
        </w:rPr>
        <w:t>agreed</w:t>
      </w:r>
      <w:r w:rsidRPr="00F84BF1">
        <w:rPr>
          <w:rFonts w:cs="Times New Roman"/>
          <w:lang w:val="en-US"/>
        </w:rPr>
        <w:t>:</w:t>
      </w:r>
    </w:p>
    <w:p w14:paraId="3C7C7D9F" w14:textId="77777777" w:rsidR="00E40511" w:rsidRPr="00E40511" w:rsidRDefault="00E40511" w:rsidP="00E40511">
      <w:pPr>
        <w:spacing w:after="0" w:line="240" w:lineRule="auto"/>
        <w:rPr>
          <w:rFonts w:ascii="Times" w:eastAsia="Batang" w:hAnsi="Times" w:cs="Times New Roman"/>
          <w:b/>
          <w:bCs/>
          <w:sz w:val="20"/>
          <w:szCs w:val="24"/>
          <w:lang w:val="en-GB" w:eastAsia="x-none"/>
        </w:rPr>
      </w:pPr>
      <w:r w:rsidRPr="00E40511">
        <w:rPr>
          <w:rFonts w:ascii="Times" w:eastAsia="Batang" w:hAnsi="Times" w:cs="Times New Roman"/>
          <w:b/>
          <w:bCs/>
          <w:sz w:val="20"/>
          <w:szCs w:val="24"/>
          <w:highlight w:val="green"/>
          <w:lang w:val="en-GB" w:eastAsia="x-none"/>
        </w:rPr>
        <w:t>Agreement</w:t>
      </w:r>
    </w:p>
    <w:p w14:paraId="0EEC0033" w14:textId="77777777" w:rsidR="00E40511" w:rsidRPr="00E40511" w:rsidRDefault="00E40511" w:rsidP="00E40511">
      <w:pPr>
        <w:spacing w:after="0" w:line="240" w:lineRule="auto"/>
        <w:rPr>
          <w:rFonts w:ascii="Times" w:eastAsia="Batang" w:hAnsi="Times" w:cs="Times New Roman"/>
          <w:sz w:val="20"/>
          <w:szCs w:val="24"/>
          <w:lang w:val="en-GB" w:eastAsia="x-none"/>
        </w:rPr>
      </w:pPr>
      <w:r w:rsidRPr="00E40511">
        <w:rPr>
          <w:rFonts w:ascii="Times" w:eastAsia="Batang" w:hAnsi="Times" w:cs="Times New Roman"/>
          <w:sz w:val="20"/>
          <w:szCs w:val="24"/>
          <w:lang w:val="en-GB" w:eastAsia="x-none"/>
        </w:rPr>
        <w:t>If intra-subframe repetition, frequency hopping and/or antenna switching are configured simultaneously, repetition is performed before frequency hopping and/or antenna switching.</w:t>
      </w:r>
    </w:p>
    <w:p w14:paraId="0ED06A4A" w14:textId="77777777" w:rsidR="00E40511" w:rsidRPr="00E40511" w:rsidRDefault="00E40511" w:rsidP="00E40511">
      <w:pPr>
        <w:spacing w:after="0" w:line="240" w:lineRule="auto"/>
        <w:rPr>
          <w:rFonts w:ascii="Times" w:eastAsia="Batang" w:hAnsi="Times" w:cs="Times New Roman"/>
          <w:sz w:val="20"/>
          <w:szCs w:val="24"/>
          <w:lang w:val="en-GB" w:eastAsia="x-none"/>
        </w:rPr>
      </w:pPr>
    </w:p>
    <w:p w14:paraId="6C8A507A" w14:textId="77777777" w:rsidR="00E40511" w:rsidRPr="00E40511" w:rsidRDefault="00E40511" w:rsidP="00E40511">
      <w:pPr>
        <w:spacing w:after="0" w:line="240" w:lineRule="auto"/>
        <w:rPr>
          <w:rFonts w:ascii="Times" w:eastAsia="Batang" w:hAnsi="Times" w:cs="Times New Roman"/>
          <w:b/>
          <w:bCs/>
          <w:sz w:val="20"/>
          <w:szCs w:val="24"/>
          <w:lang w:val="en-GB" w:eastAsia="x-none"/>
        </w:rPr>
      </w:pPr>
      <w:r w:rsidRPr="00E40511">
        <w:rPr>
          <w:rFonts w:ascii="Times" w:eastAsia="Batang" w:hAnsi="Times" w:cs="Times New Roman"/>
          <w:b/>
          <w:bCs/>
          <w:sz w:val="20"/>
          <w:szCs w:val="24"/>
          <w:highlight w:val="green"/>
          <w:lang w:val="en-GB" w:eastAsia="x-none"/>
        </w:rPr>
        <w:t>Agreement</w:t>
      </w:r>
    </w:p>
    <w:p w14:paraId="113E4FFC" w14:textId="77777777" w:rsidR="00E40511" w:rsidRPr="00E40511" w:rsidRDefault="00E40511" w:rsidP="00E40511">
      <w:pPr>
        <w:spacing w:after="0" w:line="240" w:lineRule="auto"/>
        <w:rPr>
          <w:rFonts w:ascii="Times" w:eastAsia="Malgun Gothic" w:hAnsi="Times" w:cs="Times New Roman"/>
          <w:bCs/>
          <w:sz w:val="20"/>
          <w:szCs w:val="20"/>
          <w:lang w:val="en-GB" w:eastAsia="zh-CN"/>
        </w:rPr>
      </w:pPr>
      <w:r w:rsidRPr="00E40511">
        <w:rPr>
          <w:rFonts w:ascii="Times" w:eastAsia="Malgun Gothic" w:hAnsi="Times" w:cs="Times New Roman"/>
          <w:bCs/>
          <w:sz w:val="20"/>
          <w:szCs w:val="20"/>
          <w:lang w:val="en-GB" w:eastAsia="zh-CN"/>
        </w:rPr>
        <w:t>For the setting of transmit power of additional SRS:</w:t>
      </w:r>
    </w:p>
    <w:p w14:paraId="1E8F2D2C" w14:textId="77777777" w:rsidR="00E40511" w:rsidRPr="00E40511" w:rsidRDefault="00E40511" w:rsidP="00E40511">
      <w:pPr>
        <w:overflowPunct w:val="0"/>
        <w:autoSpaceDE w:val="0"/>
        <w:autoSpaceDN w:val="0"/>
        <w:adjustRightInd w:val="0"/>
        <w:spacing w:after="180" w:line="240" w:lineRule="auto"/>
        <w:ind w:left="760"/>
        <w:contextualSpacing/>
        <w:textAlignment w:val="baseline"/>
        <w:rPr>
          <w:rFonts w:ascii="Times" w:eastAsia="Batang" w:hAnsi="Times" w:cs="Times New Roman"/>
          <w:b/>
          <w:sz w:val="20"/>
          <w:szCs w:val="20"/>
          <w:lang w:val="en-GB" w:eastAsia="x-none"/>
        </w:rPr>
      </w:pPr>
      <w:r w:rsidRPr="00E40511">
        <w:rPr>
          <w:rFonts w:ascii="Times" w:eastAsia="Batang" w:hAnsi="Times" w:cs="Times New Roman"/>
          <w:b/>
          <w:sz w:val="20"/>
          <w:szCs w:val="20"/>
          <w:lang w:val="en-GB" w:eastAsia="x-none"/>
        </w:rPr>
        <w:object w:dxaOrig="7600" w:dyaOrig="380" w14:anchorId="11E295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35pt;height:18.7pt" o:ole="">
            <v:imagedata r:id="rId11" o:title=""/>
          </v:shape>
          <o:OLEObject Type="Embed" ProgID="Equation.3" ShapeID="_x0000_i1025" DrawAspect="Content" ObjectID="_1634735409" r:id="rId12"/>
        </w:object>
      </w:r>
    </w:p>
    <w:p w14:paraId="75C4B46B" w14:textId="77777777" w:rsidR="00E40511" w:rsidRPr="00E40511" w:rsidRDefault="00E40511" w:rsidP="00E40511">
      <w:pPr>
        <w:spacing w:after="0" w:line="240" w:lineRule="auto"/>
        <w:rPr>
          <w:rFonts w:ascii="Times" w:eastAsia="Batang" w:hAnsi="Times" w:cs="Times New Roman"/>
          <w:b/>
          <w:bCs/>
          <w:sz w:val="20"/>
          <w:szCs w:val="24"/>
          <w:highlight w:val="green"/>
          <w:lang w:val="en-GB" w:eastAsia="x-none"/>
        </w:rPr>
      </w:pPr>
    </w:p>
    <w:p w14:paraId="164A58FF" w14:textId="77777777" w:rsidR="00E40511" w:rsidRPr="00E40511" w:rsidRDefault="00E40511" w:rsidP="00E40511">
      <w:pPr>
        <w:spacing w:after="0" w:line="240" w:lineRule="auto"/>
        <w:rPr>
          <w:rFonts w:ascii="Times" w:eastAsia="Batang" w:hAnsi="Times" w:cs="Times New Roman"/>
          <w:b/>
          <w:bCs/>
          <w:sz w:val="20"/>
          <w:szCs w:val="24"/>
          <w:lang w:val="en-GB" w:eastAsia="x-none"/>
        </w:rPr>
      </w:pPr>
      <w:r w:rsidRPr="00E40511">
        <w:rPr>
          <w:rFonts w:ascii="Times" w:eastAsia="Batang" w:hAnsi="Times" w:cs="Times New Roman"/>
          <w:b/>
          <w:bCs/>
          <w:sz w:val="20"/>
          <w:szCs w:val="24"/>
          <w:highlight w:val="green"/>
          <w:lang w:val="en-GB" w:eastAsia="x-none"/>
        </w:rPr>
        <w:t>Agreement</w:t>
      </w:r>
    </w:p>
    <w:p w14:paraId="3D44E64F" w14:textId="77777777" w:rsidR="00E40511" w:rsidRPr="00E40511" w:rsidRDefault="00E40511" w:rsidP="00E40511">
      <w:pPr>
        <w:spacing w:after="0" w:line="240" w:lineRule="auto"/>
        <w:rPr>
          <w:rFonts w:ascii="Times" w:eastAsia="Batang" w:hAnsi="Times" w:cs="Times New Roman"/>
          <w:sz w:val="20"/>
          <w:szCs w:val="24"/>
          <w:lang w:val="en-GB" w:eastAsia="x-none"/>
        </w:rPr>
      </w:pPr>
      <w:r w:rsidRPr="00E40511">
        <w:rPr>
          <w:rFonts w:ascii="Times" w:eastAsia="Malgun Gothic" w:hAnsi="Times" w:cs="Times New Roman"/>
          <w:sz w:val="20"/>
          <w:szCs w:val="24"/>
          <w:lang w:val="en-GB" w:eastAsia="zh-CN"/>
        </w:rPr>
        <w:t xml:space="preserve">For DCI format of TPC for additional SRS, at least DCI formats </w:t>
      </w:r>
      <w:r w:rsidRPr="00E40511">
        <w:rPr>
          <w:rFonts w:ascii="Times" w:eastAsia="Batang" w:hAnsi="Times" w:cs="Times New Roman"/>
          <w:sz w:val="20"/>
          <w:szCs w:val="24"/>
          <w:lang w:val="en-GB" w:eastAsia="x-none"/>
        </w:rPr>
        <w:t>3/3A</w:t>
      </w:r>
      <w:r w:rsidRPr="00E40511">
        <w:rPr>
          <w:rFonts w:ascii="Times" w:eastAsia="Malgun Gothic" w:hAnsi="Times" w:cs="Times New Roman"/>
          <w:sz w:val="20"/>
          <w:szCs w:val="24"/>
          <w:lang w:val="en-GB" w:eastAsia="zh-CN"/>
        </w:rPr>
        <w:t>/3B is supported</w:t>
      </w:r>
    </w:p>
    <w:p w14:paraId="17443CF8" w14:textId="77777777" w:rsidR="00E40511" w:rsidRPr="00E40511" w:rsidRDefault="00E40511" w:rsidP="00E40511">
      <w:pPr>
        <w:numPr>
          <w:ilvl w:val="0"/>
          <w:numId w:val="32"/>
        </w:numPr>
        <w:spacing w:after="0" w:line="240" w:lineRule="auto"/>
        <w:rPr>
          <w:rFonts w:ascii="Times" w:eastAsia="Batang" w:hAnsi="Times" w:cs="Times New Roman"/>
          <w:sz w:val="20"/>
          <w:szCs w:val="24"/>
          <w:lang w:val="en-GB" w:eastAsia="x-none"/>
        </w:rPr>
      </w:pPr>
      <w:r w:rsidRPr="00E40511">
        <w:rPr>
          <w:rFonts w:ascii="Times" w:eastAsia="Batang" w:hAnsi="Times" w:cs="Times New Roman"/>
          <w:sz w:val="20"/>
          <w:szCs w:val="24"/>
          <w:lang w:val="en-GB" w:eastAsia="x-none"/>
        </w:rPr>
        <w:t>For 3/3A, the TPC index for the additional SRS is configured by higher layer signalling</w:t>
      </w:r>
    </w:p>
    <w:p w14:paraId="2FE3A886" w14:textId="77777777" w:rsidR="00E40511" w:rsidRPr="00E40511" w:rsidRDefault="00E40511" w:rsidP="00E40511">
      <w:pPr>
        <w:numPr>
          <w:ilvl w:val="0"/>
          <w:numId w:val="32"/>
        </w:numPr>
        <w:spacing w:after="0" w:line="240" w:lineRule="auto"/>
        <w:rPr>
          <w:rFonts w:ascii="Times" w:eastAsia="Batang" w:hAnsi="Times" w:cs="Times New Roman"/>
          <w:sz w:val="20"/>
          <w:szCs w:val="24"/>
          <w:lang w:val="en-GB" w:eastAsia="x-none"/>
        </w:rPr>
      </w:pPr>
      <w:r w:rsidRPr="00E40511">
        <w:rPr>
          <w:rFonts w:ascii="Times" w:eastAsia="Batang" w:hAnsi="Times" w:cs="Times New Roman"/>
          <w:sz w:val="20"/>
          <w:szCs w:val="24"/>
          <w:lang w:val="en-GB" w:eastAsia="x-none"/>
        </w:rPr>
        <w:t>For 3B, the RRC parameter for the starting position of the additional SRS is configured by higher layer signalling</w:t>
      </w:r>
    </w:p>
    <w:p w14:paraId="4BC4D985" w14:textId="77777777" w:rsidR="00E40511" w:rsidRPr="00E40511" w:rsidRDefault="00E40511" w:rsidP="00E40511">
      <w:pPr>
        <w:numPr>
          <w:ilvl w:val="0"/>
          <w:numId w:val="32"/>
        </w:numPr>
        <w:spacing w:after="0" w:line="240" w:lineRule="auto"/>
        <w:rPr>
          <w:rFonts w:ascii="Times" w:eastAsia="Batang" w:hAnsi="Times" w:cs="Times New Roman"/>
          <w:sz w:val="20"/>
          <w:szCs w:val="24"/>
          <w:lang w:val="en-GB" w:eastAsia="x-none"/>
        </w:rPr>
      </w:pPr>
      <w:r w:rsidRPr="00E40511">
        <w:rPr>
          <w:rFonts w:ascii="Times" w:eastAsia="Batang" w:hAnsi="Times" w:cs="Times New Roman"/>
          <w:sz w:val="20"/>
          <w:szCs w:val="24"/>
          <w:lang w:val="en-GB" w:eastAsia="x-none"/>
        </w:rPr>
        <w:t xml:space="preserve">FFS: </w:t>
      </w:r>
      <w:r w:rsidRPr="00E40511">
        <w:rPr>
          <w:rFonts w:ascii="Times" w:eastAsia="Malgun Gothic" w:hAnsi="Times" w:cs="Times New Roman"/>
          <w:sz w:val="20"/>
          <w:szCs w:val="24"/>
          <w:lang w:val="en-GB" w:eastAsia="zh-CN"/>
        </w:rPr>
        <w:t>UL grants, DL grants</w:t>
      </w:r>
    </w:p>
    <w:p w14:paraId="59D9B009" w14:textId="77777777" w:rsidR="00E40511" w:rsidRPr="00E40511" w:rsidRDefault="00E40511" w:rsidP="00E40511">
      <w:pPr>
        <w:spacing w:after="0" w:line="240" w:lineRule="auto"/>
        <w:rPr>
          <w:rFonts w:ascii="Times" w:eastAsia="Batang" w:hAnsi="Times" w:cs="Times New Roman"/>
          <w:sz w:val="20"/>
          <w:szCs w:val="24"/>
          <w:lang w:val="en-GB" w:eastAsia="x-none"/>
        </w:rPr>
      </w:pPr>
    </w:p>
    <w:p w14:paraId="0F43389E" w14:textId="77777777" w:rsidR="00E40511" w:rsidRPr="00E40511" w:rsidRDefault="00E40511" w:rsidP="00E40511">
      <w:pPr>
        <w:spacing w:after="0" w:line="240" w:lineRule="auto"/>
        <w:rPr>
          <w:rFonts w:ascii="Times" w:eastAsia="Batang" w:hAnsi="Times" w:cs="Times New Roman"/>
          <w:b/>
          <w:bCs/>
          <w:sz w:val="20"/>
          <w:szCs w:val="24"/>
          <w:lang w:val="en-GB" w:eastAsia="x-none"/>
        </w:rPr>
      </w:pPr>
      <w:r w:rsidRPr="00E40511">
        <w:rPr>
          <w:rFonts w:ascii="Times" w:eastAsia="Batang" w:hAnsi="Times" w:cs="Times New Roman"/>
          <w:b/>
          <w:bCs/>
          <w:sz w:val="20"/>
          <w:szCs w:val="24"/>
          <w:highlight w:val="green"/>
          <w:lang w:val="en-GB" w:eastAsia="x-none"/>
        </w:rPr>
        <w:t>Agreement</w:t>
      </w:r>
    </w:p>
    <w:p w14:paraId="20DFB5BB" w14:textId="77777777" w:rsidR="00E40511" w:rsidRPr="00E40511" w:rsidRDefault="00E40511" w:rsidP="00E40511">
      <w:pPr>
        <w:spacing w:after="0" w:line="240" w:lineRule="auto"/>
        <w:rPr>
          <w:rFonts w:ascii="Times" w:eastAsia="Malgun Gothic" w:hAnsi="Times" w:cs="Times New Roman"/>
          <w:bCs/>
          <w:sz w:val="20"/>
          <w:szCs w:val="24"/>
          <w:lang w:val="en-GB" w:eastAsia="zh-CN"/>
        </w:rPr>
      </w:pPr>
      <w:r w:rsidRPr="00E40511">
        <w:rPr>
          <w:rFonts w:ascii="Times" w:eastAsia="Malgun Gothic" w:hAnsi="Times" w:cs="Times New Roman"/>
          <w:bCs/>
          <w:sz w:val="20"/>
          <w:szCs w:val="24"/>
          <w:lang w:val="en-GB" w:eastAsia="zh-CN"/>
        </w:rPr>
        <w:t xml:space="preserve">For configuration of additional SRS: </w:t>
      </w:r>
    </w:p>
    <w:p w14:paraId="414B807B" w14:textId="77777777" w:rsidR="00E40511" w:rsidRPr="00E40511" w:rsidRDefault="00E40511" w:rsidP="00E40511">
      <w:pPr>
        <w:numPr>
          <w:ilvl w:val="0"/>
          <w:numId w:val="32"/>
        </w:numPr>
        <w:spacing w:after="0" w:line="240" w:lineRule="auto"/>
        <w:rPr>
          <w:rFonts w:ascii="Times" w:eastAsia="Batang" w:hAnsi="Times" w:cs="Times New Roman"/>
          <w:sz w:val="20"/>
          <w:szCs w:val="24"/>
          <w:lang w:val="en-GB" w:eastAsia="x-none"/>
        </w:rPr>
      </w:pPr>
      <w:r w:rsidRPr="00E40511">
        <w:rPr>
          <w:rFonts w:ascii="Times" w:eastAsia="Batang" w:hAnsi="Times" w:cs="Times New Roman"/>
          <w:sz w:val="20"/>
          <w:szCs w:val="24"/>
          <w:lang w:val="en-GB" w:eastAsia="x-none"/>
        </w:rPr>
        <w:t>Start position and number of symbols for additional SRS includes guard symbols if configured</w:t>
      </w:r>
    </w:p>
    <w:p w14:paraId="088CB558" w14:textId="77777777" w:rsidR="00E40511" w:rsidRPr="00E40511" w:rsidRDefault="00E40511" w:rsidP="00E40511">
      <w:pPr>
        <w:spacing w:after="0" w:line="240" w:lineRule="auto"/>
        <w:rPr>
          <w:rFonts w:ascii="Times" w:eastAsia="Batang" w:hAnsi="Times" w:cs="Times New Roman"/>
          <w:sz w:val="20"/>
          <w:szCs w:val="24"/>
          <w:lang w:val="en-GB" w:eastAsia="x-none"/>
        </w:rPr>
      </w:pPr>
    </w:p>
    <w:p w14:paraId="1915AF76" w14:textId="77777777" w:rsidR="00E40511" w:rsidRPr="00E40511" w:rsidRDefault="00E40511" w:rsidP="00E40511">
      <w:pPr>
        <w:spacing w:after="0" w:line="240" w:lineRule="auto"/>
        <w:rPr>
          <w:rFonts w:ascii="Times" w:eastAsia="Batang" w:hAnsi="Times" w:cs="Times New Roman"/>
          <w:b/>
          <w:bCs/>
          <w:sz w:val="20"/>
          <w:szCs w:val="24"/>
          <w:lang w:val="en-GB" w:eastAsia="x-none"/>
        </w:rPr>
      </w:pPr>
      <w:r w:rsidRPr="00E40511">
        <w:rPr>
          <w:rFonts w:ascii="Times" w:eastAsia="Batang" w:hAnsi="Times" w:cs="Times New Roman"/>
          <w:b/>
          <w:bCs/>
          <w:sz w:val="20"/>
          <w:szCs w:val="24"/>
          <w:highlight w:val="green"/>
          <w:lang w:val="en-GB" w:eastAsia="x-none"/>
        </w:rPr>
        <w:t>Agreement</w:t>
      </w:r>
    </w:p>
    <w:p w14:paraId="6FF90813" w14:textId="77777777" w:rsidR="00E40511" w:rsidRPr="00E40511" w:rsidRDefault="00E40511" w:rsidP="00E40511">
      <w:pPr>
        <w:spacing w:after="0" w:line="240" w:lineRule="auto"/>
        <w:rPr>
          <w:rFonts w:ascii="Times" w:eastAsia="Batang" w:hAnsi="Times" w:cs="Times New Roman"/>
          <w:sz w:val="20"/>
          <w:szCs w:val="20"/>
          <w:lang w:val="en-GB"/>
        </w:rPr>
      </w:pPr>
      <w:r w:rsidRPr="00E40511">
        <w:rPr>
          <w:rFonts w:ascii="Times" w:eastAsia="Batang" w:hAnsi="Times" w:cs="Times New Roman"/>
          <w:sz w:val="20"/>
          <w:szCs w:val="20"/>
          <w:lang w:val="en-GB"/>
        </w:rPr>
        <w:t xml:space="preserve">For the handling of </w:t>
      </w:r>
      <w:r w:rsidRPr="00E40511">
        <w:rPr>
          <w:rFonts w:ascii="Times" w:eastAsia="Malgun Gothic" w:hAnsi="Times" w:cs="Times New Roman"/>
          <w:sz w:val="20"/>
          <w:szCs w:val="20"/>
          <w:lang w:val="en-GB" w:eastAsia="zh-CN"/>
        </w:rPr>
        <w:t xml:space="preserve">collision of SRS and PUCCH/PUSCH/PRACH transmission for UEs not supporting </w:t>
      </w:r>
      <w:proofErr w:type="spellStart"/>
      <w:r w:rsidRPr="00E40511">
        <w:rPr>
          <w:rFonts w:ascii="Times" w:eastAsia="Malgun Gothic" w:hAnsi="Times" w:cs="Times New Roman"/>
          <w:sz w:val="20"/>
          <w:szCs w:val="20"/>
          <w:lang w:val="en-GB" w:eastAsia="zh-CN"/>
        </w:rPr>
        <w:t>sPUSCH</w:t>
      </w:r>
      <w:proofErr w:type="spellEnd"/>
      <w:r w:rsidRPr="00E40511">
        <w:rPr>
          <w:rFonts w:ascii="Times" w:eastAsia="Malgun Gothic" w:hAnsi="Times" w:cs="Times New Roman"/>
          <w:sz w:val="20"/>
          <w:szCs w:val="20"/>
          <w:lang w:val="en-GB" w:eastAsia="zh-CN"/>
        </w:rPr>
        <w:t>/</w:t>
      </w:r>
      <w:proofErr w:type="spellStart"/>
      <w:r w:rsidRPr="00E40511">
        <w:rPr>
          <w:rFonts w:ascii="Times" w:eastAsia="Malgun Gothic" w:hAnsi="Times" w:cs="Times New Roman"/>
          <w:sz w:val="20"/>
          <w:szCs w:val="20"/>
          <w:lang w:val="en-GB" w:eastAsia="zh-CN"/>
        </w:rPr>
        <w:t>sPUCCH</w:t>
      </w:r>
      <w:proofErr w:type="spellEnd"/>
      <w:r w:rsidRPr="00E40511">
        <w:rPr>
          <w:rFonts w:ascii="Times" w:eastAsia="Malgun Gothic" w:hAnsi="Times" w:cs="Times New Roman"/>
          <w:sz w:val="20"/>
          <w:szCs w:val="20"/>
          <w:lang w:val="en-GB" w:eastAsia="zh-CN"/>
        </w:rPr>
        <w:t xml:space="preserve"> </w:t>
      </w:r>
    </w:p>
    <w:p w14:paraId="3FB7A24F" w14:textId="77777777" w:rsidR="00E40511" w:rsidRPr="00E40511" w:rsidRDefault="00E40511" w:rsidP="00E40511">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sz w:val="20"/>
          <w:szCs w:val="20"/>
          <w:lang w:val="en-GB" w:eastAsia="zh-CN"/>
        </w:rPr>
      </w:pPr>
      <w:r w:rsidRPr="00E40511">
        <w:rPr>
          <w:rFonts w:ascii="Times" w:eastAsia="Malgun Gothic" w:hAnsi="Times" w:cs="Times New Roman"/>
          <w:sz w:val="20"/>
          <w:szCs w:val="20"/>
          <w:lang w:val="en-GB" w:eastAsia="zh-CN"/>
        </w:rPr>
        <w:t>UE is not expected to be triggered with SRS and PUCCH/PUSCH/PRACH on colliding subframes.</w:t>
      </w:r>
    </w:p>
    <w:p w14:paraId="02DA8FA3" w14:textId="77777777" w:rsidR="00E40511" w:rsidRPr="00E40511" w:rsidRDefault="00E40511" w:rsidP="00E40511">
      <w:pPr>
        <w:spacing w:after="0" w:line="240" w:lineRule="auto"/>
        <w:rPr>
          <w:rFonts w:ascii="Times" w:eastAsia="Batang" w:hAnsi="Times" w:cs="Times New Roman"/>
          <w:sz w:val="20"/>
          <w:szCs w:val="24"/>
          <w:lang w:val="en-GB" w:eastAsia="x-none"/>
        </w:rPr>
      </w:pPr>
    </w:p>
    <w:p w14:paraId="15C51903" w14:textId="77777777" w:rsidR="00E40511" w:rsidRPr="00E40511" w:rsidRDefault="00E40511" w:rsidP="00E40511">
      <w:pPr>
        <w:spacing w:after="0" w:line="240" w:lineRule="auto"/>
        <w:rPr>
          <w:rFonts w:ascii="Times" w:eastAsia="Batang" w:hAnsi="Times" w:cs="Times New Roman"/>
          <w:b/>
          <w:bCs/>
          <w:sz w:val="20"/>
          <w:szCs w:val="24"/>
          <w:lang w:val="en-GB" w:eastAsia="x-none"/>
        </w:rPr>
      </w:pPr>
      <w:r w:rsidRPr="00E40511">
        <w:rPr>
          <w:rFonts w:ascii="Times" w:eastAsia="Batang" w:hAnsi="Times" w:cs="Times New Roman"/>
          <w:b/>
          <w:bCs/>
          <w:sz w:val="20"/>
          <w:szCs w:val="24"/>
          <w:highlight w:val="green"/>
          <w:lang w:val="en-GB" w:eastAsia="x-none"/>
        </w:rPr>
        <w:t>Agreement</w:t>
      </w:r>
    </w:p>
    <w:p w14:paraId="455D55CB" w14:textId="6C8B9E57" w:rsidR="00E40511" w:rsidRDefault="00E40511" w:rsidP="00E40511">
      <w:pPr>
        <w:spacing w:after="0" w:line="240" w:lineRule="auto"/>
        <w:rPr>
          <w:rFonts w:ascii="Times" w:eastAsia="Batang" w:hAnsi="Times" w:cs="Times New Roman"/>
          <w:sz w:val="20"/>
          <w:szCs w:val="24"/>
          <w:lang w:val="en-GB" w:eastAsia="x-none"/>
        </w:rPr>
      </w:pPr>
      <w:r w:rsidRPr="00E40511">
        <w:rPr>
          <w:rFonts w:ascii="Times" w:eastAsia="Batang" w:hAnsi="Times" w:cs="Times New Roman"/>
          <w:sz w:val="20"/>
          <w:szCs w:val="24"/>
          <w:lang w:val="en-GB" w:eastAsia="x-none"/>
        </w:rPr>
        <w:t xml:space="preserve">The existing power headroom (PH) type 3 is reused for selectively reporting additional SRS or PUSCH-less </w:t>
      </w:r>
      <w:proofErr w:type="spellStart"/>
      <w:r w:rsidRPr="00E40511">
        <w:rPr>
          <w:rFonts w:ascii="Times" w:eastAsia="Batang" w:hAnsi="Times" w:cs="Times New Roman"/>
          <w:sz w:val="20"/>
          <w:szCs w:val="24"/>
          <w:lang w:val="en-GB" w:eastAsia="x-none"/>
        </w:rPr>
        <w:t>SCell</w:t>
      </w:r>
      <w:proofErr w:type="spellEnd"/>
      <w:r w:rsidRPr="00E40511">
        <w:rPr>
          <w:rFonts w:ascii="Times" w:eastAsia="Batang" w:hAnsi="Times" w:cs="Times New Roman"/>
          <w:sz w:val="20"/>
          <w:szCs w:val="24"/>
          <w:lang w:val="en-GB" w:eastAsia="x-none"/>
        </w:rPr>
        <w:t xml:space="preserve"> SRS.</w:t>
      </w:r>
    </w:p>
    <w:p w14:paraId="4346725B" w14:textId="009DE58E" w:rsidR="00E40511" w:rsidRDefault="00E40511" w:rsidP="00E40511">
      <w:pPr>
        <w:spacing w:after="0" w:line="240" w:lineRule="auto"/>
        <w:rPr>
          <w:rFonts w:ascii="Times" w:eastAsia="Batang" w:hAnsi="Times" w:cs="Times New Roman"/>
          <w:sz w:val="20"/>
          <w:szCs w:val="24"/>
          <w:lang w:val="en-GB" w:eastAsia="x-none"/>
        </w:rPr>
      </w:pPr>
    </w:p>
    <w:p w14:paraId="447C198E" w14:textId="25E781F0" w:rsidR="00E40511" w:rsidRDefault="00E40511" w:rsidP="00E40511">
      <w:pPr>
        <w:spacing w:after="0" w:line="240" w:lineRule="auto"/>
        <w:rPr>
          <w:rFonts w:ascii="Times" w:eastAsia="Batang" w:hAnsi="Times" w:cs="Times New Roman"/>
          <w:sz w:val="20"/>
          <w:szCs w:val="24"/>
          <w:lang w:val="en-GB" w:eastAsia="x-none"/>
        </w:rPr>
      </w:pPr>
      <w:r>
        <w:rPr>
          <w:rFonts w:ascii="Times" w:eastAsia="Batang" w:hAnsi="Times" w:cs="Times New Roman"/>
          <w:sz w:val="20"/>
          <w:szCs w:val="24"/>
          <w:lang w:val="en-GB" w:eastAsia="x-none"/>
        </w:rPr>
        <w:t>Furthermore, the working assumption regarding order of frequency hopping and antenna switching when concurrently configured have not yet been confirmed or rejected:</w:t>
      </w:r>
    </w:p>
    <w:p w14:paraId="3D709A9F" w14:textId="77777777" w:rsidR="00E40511" w:rsidRDefault="00E40511" w:rsidP="00E40511">
      <w:pPr>
        <w:spacing w:after="0" w:line="240" w:lineRule="auto"/>
        <w:rPr>
          <w:rFonts w:ascii="Times" w:eastAsia="Batang" w:hAnsi="Times" w:cs="Times New Roman"/>
          <w:sz w:val="20"/>
          <w:szCs w:val="24"/>
          <w:lang w:val="en-GB" w:eastAsia="x-none"/>
        </w:rPr>
      </w:pPr>
    </w:p>
    <w:p w14:paraId="19DE8954" w14:textId="77777777" w:rsidR="00E40511" w:rsidRPr="00E40511" w:rsidRDefault="00E40511" w:rsidP="00E40511">
      <w:pPr>
        <w:autoSpaceDE w:val="0"/>
        <w:autoSpaceDN w:val="0"/>
        <w:adjustRightInd w:val="0"/>
        <w:snapToGrid w:val="0"/>
        <w:spacing w:after="120" w:line="240" w:lineRule="auto"/>
        <w:jc w:val="both"/>
        <w:rPr>
          <w:rFonts w:ascii="Times New Roman" w:eastAsia="Malgun Gothic" w:hAnsi="Times New Roman" w:cs="Times New Roman"/>
          <w:b/>
          <w:i/>
          <w:highlight w:val="darkYellow"/>
          <w:lang w:val="en-US" w:eastAsia="zh-CN"/>
        </w:rPr>
      </w:pPr>
      <w:r w:rsidRPr="00E40511">
        <w:rPr>
          <w:rFonts w:ascii="Times New Roman" w:eastAsia="Malgun Gothic" w:hAnsi="Times New Roman" w:cs="Times New Roman"/>
          <w:b/>
          <w:i/>
          <w:highlight w:val="darkYellow"/>
          <w:lang w:val="en-US" w:eastAsia="zh-CN"/>
        </w:rPr>
        <w:t>Working Assumption</w:t>
      </w:r>
    </w:p>
    <w:p w14:paraId="094721CD" w14:textId="23E895B6" w:rsidR="00E40511" w:rsidRDefault="00E40511" w:rsidP="00E40511">
      <w:pPr>
        <w:autoSpaceDE w:val="0"/>
        <w:autoSpaceDN w:val="0"/>
        <w:adjustRightInd w:val="0"/>
        <w:snapToGrid w:val="0"/>
        <w:spacing w:after="120" w:line="240" w:lineRule="auto"/>
        <w:jc w:val="both"/>
        <w:rPr>
          <w:rFonts w:ascii="Times New Roman" w:eastAsia="Malgun Gothic" w:hAnsi="Times New Roman" w:cs="Times New Roman"/>
          <w:i/>
          <w:lang w:val="en-US" w:eastAsia="zh-CN"/>
        </w:rPr>
      </w:pPr>
      <w:r w:rsidRPr="00E40511">
        <w:rPr>
          <w:rFonts w:ascii="Times New Roman" w:eastAsia="Malgun Gothic" w:hAnsi="Times New Roman" w:cs="Times New Roman"/>
          <w:i/>
          <w:lang w:val="en-US" w:eastAsia="zh-CN"/>
        </w:rPr>
        <w:t>When intra-subframe frequency hopping/repetition and intra-subframe antenna switching are concurrently configured, frequency hopping should be performed before antenna switching.</w:t>
      </w:r>
    </w:p>
    <w:p w14:paraId="1C5DA8E3" w14:textId="1DDB9D8F" w:rsidR="00C257E1" w:rsidRPr="00E40511" w:rsidRDefault="00E40511" w:rsidP="00E40511">
      <w:pPr>
        <w:autoSpaceDE w:val="0"/>
        <w:autoSpaceDN w:val="0"/>
        <w:adjustRightInd w:val="0"/>
        <w:snapToGrid w:val="0"/>
        <w:spacing w:after="120" w:line="240" w:lineRule="auto"/>
        <w:jc w:val="both"/>
        <w:rPr>
          <w:rFonts w:ascii="Times New Roman" w:hAnsi="Times New Roman" w:cs="Times New Roman"/>
          <w:lang w:val="en-GB"/>
        </w:rPr>
      </w:pPr>
      <w:r>
        <w:rPr>
          <w:rFonts w:ascii="Times New Roman" w:eastAsia="Malgun Gothic" w:hAnsi="Times New Roman" w:cs="Times New Roman"/>
          <w:lang w:val="en-US" w:eastAsia="zh-CN"/>
        </w:rPr>
        <w:t xml:space="preserve">Additionally, there is still an open issue of whether to support introduction of a standalone </w:t>
      </w:r>
      <w:proofErr w:type="spellStart"/>
      <w:r>
        <w:rPr>
          <w:rFonts w:ascii="Times New Roman" w:eastAsia="Malgun Gothic" w:hAnsi="Times New Roman" w:cs="Times New Roman"/>
          <w:lang w:val="en-US" w:eastAsia="zh-CN"/>
        </w:rPr>
        <w:t>sPUCCH</w:t>
      </w:r>
      <w:proofErr w:type="spellEnd"/>
      <w:r>
        <w:rPr>
          <w:rFonts w:ascii="Times New Roman" w:eastAsia="Malgun Gothic" w:hAnsi="Times New Roman" w:cs="Times New Roman"/>
          <w:lang w:val="en-US" w:eastAsia="zh-CN"/>
        </w:rPr>
        <w:t>/</w:t>
      </w:r>
      <w:proofErr w:type="spellStart"/>
      <w:r>
        <w:rPr>
          <w:rFonts w:ascii="Times New Roman" w:eastAsia="Malgun Gothic" w:hAnsi="Times New Roman" w:cs="Times New Roman"/>
          <w:lang w:val="en-US" w:eastAsia="zh-CN"/>
        </w:rPr>
        <w:t>sPUSCH</w:t>
      </w:r>
      <w:proofErr w:type="spellEnd"/>
      <w:r>
        <w:rPr>
          <w:rFonts w:ascii="Times New Roman" w:eastAsia="Malgun Gothic" w:hAnsi="Times New Roman" w:cs="Times New Roman"/>
          <w:lang w:val="en-US" w:eastAsia="zh-CN"/>
        </w:rPr>
        <w:t xml:space="preserve"> capability.</w:t>
      </w:r>
    </w:p>
    <w:p w14:paraId="0E82C52F" w14:textId="39B3000D" w:rsidR="009646E4" w:rsidRPr="00F84BF1" w:rsidRDefault="00C257E1" w:rsidP="00A37B9F">
      <w:pPr>
        <w:pStyle w:val="BodyText"/>
        <w:spacing w:after="240"/>
        <w:rPr>
          <w:rFonts w:cs="Times New Roman"/>
          <w:lang w:val="en-US"/>
        </w:rPr>
      </w:pPr>
      <w:r>
        <w:rPr>
          <w:rFonts w:cs="Times New Roman"/>
          <w:lang w:val="en-GB"/>
        </w:rPr>
        <w:t>In this contribution, we present our view on the remaining open issues.</w:t>
      </w:r>
    </w:p>
    <w:p w14:paraId="49C52FB9" w14:textId="14B9D814" w:rsidR="009646E4" w:rsidRDefault="004932D8" w:rsidP="009646E4">
      <w:pPr>
        <w:pStyle w:val="Heading1"/>
      </w:pPr>
      <w:r>
        <w:lastRenderedPageBreak/>
        <w:t xml:space="preserve">Guard period for antenna </w:t>
      </w:r>
      <w:r w:rsidR="00313784">
        <w:t>switching</w:t>
      </w:r>
    </w:p>
    <w:p w14:paraId="0F74D48D" w14:textId="77777777" w:rsidR="00024829" w:rsidRDefault="00671C2A" w:rsidP="003D2031">
      <w:pPr>
        <w:rPr>
          <w:rFonts w:ascii="Times New Roman" w:hAnsi="Times New Roman" w:cs="Times New Roman"/>
          <w:lang w:val="en-GB" w:eastAsia="zh-CN"/>
        </w:rPr>
      </w:pPr>
      <w:r w:rsidRPr="003D2031">
        <w:rPr>
          <w:rFonts w:ascii="Times New Roman" w:hAnsi="Times New Roman" w:cs="Times New Roman"/>
          <w:lang w:val="en-GB" w:eastAsia="zh-CN"/>
        </w:rPr>
        <w:t xml:space="preserve">It has been agreed that a guard period of </w:t>
      </w:r>
      <w:r w:rsidR="006509AB" w:rsidRPr="003D2031">
        <w:rPr>
          <w:rFonts w:ascii="Times New Roman" w:hAnsi="Times New Roman" w:cs="Times New Roman"/>
          <w:lang w:val="en-GB" w:eastAsia="zh-CN"/>
        </w:rPr>
        <w:t xml:space="preserve">1 OFDM symbol may optionally be configured when frequency hopping </w:t>
      </w:r>
      <w:r w:rsidR="00CB2A6C" w:rsidRPr="003D2031">
        <w:rPr>
          <w:rFonts w:ascii="Times New Roman" w:hAnsi="Times New Roman" w:cs="Times New Roman"/>
          <w:lang w:val="en-GB" w:eastAsia="zh-CN"/>
        </w:rPr>
        <w:t>and/or antenna switching is applied for additional SRS symbols in normal UL subframe.</w:t>
      </w:r>
      <w:r w:rsidR="003D2031">
        <w:rPr>
          <w:rFonts w:ascii="Times New Roman" w:hAnsi="Times New Roman" w:cs="Times New Roman"/>
          <w:lang w:val="en-GB" w:eastAsia="zh-CN"/>
        </w:rPr>
        <w:t xml:space="preserve"> Additionally, it was taken as working assumption that</w:t>
      </w:r>
      <w:r w:rsidR="009709A7">
        <w:rPr>
          <w:rFonts w:ascii="Times New Roman" w:hAnsi="Times New Roman" w:cs="Times New Roman"/>
          <w:lang w:val="en-GB" w:eastAsia="zh-CN"/>
        </w:rPr>
        <w:t xml:space="preserve"> frequency hopping</w:t>
      </w:r>
      <w:r w:rsidR="00F80F04">
        <w:rPr>
          <w:rFonts w:ascii="Times New Roman" w:hAnsi="Times New Roman" w:cs="Times New Roman"/>
          <w:lang w:val="en-GB" w:eastAsia="zh-CN"/>
        </w:rPr>
        <w:t xml:space="preserve"> </w:t>
      </w:r>
      <w:r w:rsidR="009709A7">
        <w:rPr>
          <w:rFonts w:ascii="Times New Roman" w:hAnsi="Times New Roman" w:cs="Times New Roman"/>
          <w:lang w:val="en-GB" w:eastAsia="zh-CN"/>
        </w:rPr>
        <w:t>should be applied before antenna switching</w:t>
      </w:r>
      <w:r w:rsidR="00F80F04">
        <w:rPr>
          <w:rFonts w:ascii="Times New Roman" w:hAnsi="Times New Roman" w:cs="Times New Roman"/>
          <w:lang w:val="en-GB" w:eastAsia="zh-CN"/>
        </w:rPr>
        <w:t xml:space="preserve"> </w:t>
      </w:r>
      <w:r w:rsidR="009709A7">
        <w:rPr>
          <w:rFonts w:ascii="Times New Roman" w:hAnsi="Times New Roman" w:cs="Times New Roman"/>
          <w:lang w:val="en-GB" w:eastAsia="zh-CN"/>
        </w:rPr>
        <w:t>when</w:t>
      </w:r>
      <w:r w:rsidR="00F80F04">
        <w:rPr>
          <w:rFonts w:ascii="Times New Roman" w:hAnsi="Times New Roman" w:cs="Times New Roman"/>
          <w:lang w:val="en-GB" w:eastAsia="zh-CN"/>
        </w:rPr>
        <w:t xml:space="preserve"> </w:t>
      </w:r>
      <w:r w:rsidR="00D558B7">
        <w:rPr>
          <w:rFonts w:ascii="Times New Roman" w:hAnsi="Times New Roman" w:cs="Times New Roman"/>
          <w:lang w:val="en-GB" w:eastAsia="zh-CN"/>
        </w:rPr>
        <w:t>they are both c</w:t>
      </w:r>
      <w:r w:rsidR="00024829">
        <w:rPr>
          <w:rFonts w:ascii="Times New Roman" w:hAnsi="Times New Roman" w:cs="Times New Roman"/>
          <w:lang w:val="en-GB" w:eastAsia="zh-CN"/>
        </w:rPr>
        <w:t xml:space="preserve">oncurrently configured to apply within the same subframe. </w:t>
      </w:r>
    </w:p>
    <w:p w14:paraId="38A32D71" w14:textId="0DBB2AD8" w:rsidR="00C3785B" w:rsidRDefault="00024829" w:rsidP="003D2031">
      <w:pPr>
        <w:rPr>
          <w:rFonts w:ascii="Times New Roman" w:hAnsi="Times New Roman" w:cs="Times New Roman"/>
          <w:lang w:val="en-GB" w:eastAsia="zh-CN"/>
        </w:rPr>
      </w:pPr>
      <w:r>
        <w:rPr>
          <w:rFonts w:ascii="Times New Roman" w:hAnsi="Times New Roman" w:cs="Times New Roman"/>
          <w:lang w:val="en-GB" w:eastAsia="zh-CN"/>
        </w:rPr>
        <w:t>However, the sole motivation for the</w:t>
      </w:r>
      <w:r w:rsidR="00CC01E0">
        <w:rPr>
          <w:rFonts w:ascii="Times New Roman" w:hAnsi="Times New Roman" w:cs="Times New Roman"/>
          <w:lang w:val="en-GB" w:eastAsia="zh-CN"/>
        </w:rPr>
        <w:t xml:space="preserve"> design choice according to the working assumption was that it was assumed that a GP </w:t>
      </w:r>
      <w:r w:rsidR="00C80EB4">
        <w:rPr>
          <w:rFonts w:ascii="Times New Roman" w:hAnsi="Times New Roman" w:cs="Times New Roman"/>
          <w:lang w:val="en-GB" w:eastAsia="zh-CN"/>
        </w:rPr>
        <w:t>symbol would</w:t>
      </w:r>
      <w:r w:rsidR="00CC01E0">
        <w:rPr>
          <w:rFonts w:ascii="Times New Roman" w:hAnsi="Times New Roman" w:cs="Times New Roman"/>
          <w:lang w:val="en-GB" w:eastAsia="zh-CN"/>
        </w:rPr>
        <w:t xml:space="preserve"> be needed</w:t>
      </w:r>
      <w:r w:rsidR="00C80EB4">
        <w:rPr>
          <w:rFonts w:ascii="Times New Roman" w:hAnsi="Times New Roman" w:cs="Times New Roman"/>
          <w:lang w:val="en-GB" w:eastAsia="zh-CN"/>
        </w:rPr>
        <w:t xml:space="preserve"> after antenna switching but not after frequency hopping, as is illustrated in Figure 1a). In that case, it makes sens</w:t>
      </w:r>
      <w:r w:rsidR="009E1689">
        <w:rPr>
          <w:rFonts w:ascii="Times New Roman" w:hAnsi="Times New Roman" w:cs="Times New Roman"/>
          <w:lang w:val="en-GB" w:eastAsia="zh-CN"/>
        </w:rPr>
        <w:t>e to perform the frequency hopping first in order to minimize the number of GP symbols required. However, according to RAN4 LS reply, there is no differentiation with respect to the</w:t>
      </w:r>
      <w:r w:rsidR="0053204A">
        <w:rPr>
          <w:rFonts w:ascii="Times New Roman" w:hAnsi="Times New Roman" w:cs="Times New Roman"/>
          <w:lang w:val="en-GB" w:eastAsia="zh-CN"/>
        </w:rPr>
        <w:t xml:space="preserve"> transient period required between frequency hopping and antenna switching.</w:t>
      </w:r>
      <w:r w:rsidR="004275C9">
        <w:rPr>
          <w:rFonts w:ascii="Times New Roman" w:hAnsi="Times New Roman" w:cs="Times New Roman"/>
          <w:lang w:val="en-GB" w:eastAsia="zh-CN"/>
        </w:rPr>
        <w:t xml:space="preserve"> </w:t>
      </w:r>
      <w:r w:rsidR="0053204A">
        <w:rPr>
          <w:rFonts w:ascii="Times New Roman" w:hAnsi="Times New Roman" w:cs="Times New Roman"/>
          <w:lang w:val="en-GB" w:eastAsia="zh-CN"/>
        </w:rPr>
        <w:t xml:space="preserve"> Thus, the same GP</w:t>
      </w:r>
      <w:r w:rsidR="001068D8">
        <w:rPr>
          <w:rFonts w:ascii="Times New Roman" w:hAnsi="Times New Roman" w:cs="Times New Roman"/>
          <w:lang w:val="en-GB" w:eastAsia="zh-CN"/>
        </w:rPr>
        <w:t xml:space="preserve"> may</w:t>
      </w:r>
      <w:r w:rsidR="0053204A">
        <w:rPr>
          <w:rFonts w:ascii="Times New Roman" w:hAnsi="Times New Roman" w:cs="Times New Roman"/>
          <w:lang w:val="en-GB" w:eastAsia="zh-CN"/>
        </w:rPr>
        <w:t xml:space="preserve"> need</w:t>
      </w:r>
      <w:r w:rsidR="001068D8">
        <w:rPr>
          <w:rFonts w:ascii="Times New Roman" w:hAnsi="Times New Roman" w:cs="Times New Roman"/>
          <w:lang w:val="en-GB" w:eastAsia="zh-CN"/>
        </w:rPr>
        <w:t xml:space="preserve"> </w:t>
      </w:r>
      <w:r w:rsidR="0053204A">
        <w:rPr>
          <w:rFonts w:ascii="Times New Roman" w:hAnsi="Times New Roman" w:cs="Times New Roman"/>
          <w:lang w:val="en-GB" w:eastAsia="zh-CN"/>
        </w:rPr>
        <w:t xml:space="preserve">to be applied </w:t>
      </w:r>
      <w:r w:rsidR="00812285">
        <w:rPr>
          <w:rFonts w:ascii="Times New Roman" w:hAnsi="Times New Roman" w:cs="Times New Roman"/>
          <w:lang w:val="en-GB" w:eastAsia="zh-CN"/>
        </w:rPr>
        <w:t xml:space="preserve">after frequency hopping as well, according to Figure 1b).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9"/>
      </w:tblGrid>
      <w:tr w:rsidR="008579E3" w:rsidRPr="003871FD" w14:paraId="725519C8" w14:textId="77777777" w:rsidTr="006E1371">
        <w:tc>
          <w:tcPr>
            <w:tcW w:w="4654" w:type="dxa"/>
          </w:tcPr>
          <w:p w14:paraId="6E01898D" w14:textId="004F91B0" w:rsidR="008579E3" w:rsidRDefault="009D72DD" w:rsidP="00B32FE0">
            <w:r>
              <w:object w:dxaOrig="6765" w:dyaOrig="6451" w14:anchorId="6E870BEF">
                <v:shape id="_x0000_i1026" type="#_x0000_t75" style="width:229.2pt;height:219.85pt" o:ole="">
                  <v:imagedata r:id="rId13" o:title=""/>
                </v:shape>
                <o:OLEObject Type="Embed" ProgID="Visio.Drawing.15" ShapeID="_x0000_i1026" DrawAspect="Content" ObjectID="_1634735410" r:id="rId14"/>
              </w:object>
            </w:r>
          </w:p>
          <w:p w14:paraId="4C06EAEC" w14:textId="77777777" w:rsidR="008579E3" w:rsidRPr="00A037CE" w:rsidRDefault="008579E3" w:rsidP="00B32FE0">
            <w:pPr>
              <w:pStyle w:val="ListParagraph"/>
              <w:numPr>
                <w:ilvl w:val="0"/>
                <w:numId w:val="30"/>
              </w:numPr>
              <w:rPr>
                <w:rFonts w:ascii="Times New Roman" w:hAnsi="Times New Roman" w:cs="Times New Roman"/>
                <w:lang w:val="en-GB" w:eastAsia="zh-CN"/>
              </w:rPr>
            </w:pPr>
            <w:r>
              <w:rPr>
                <w:rFonts w:ascii="Times New Roman" w:hAnsi="Times New Roman" w:cs="Times New Roman"/>
                <w:lang w:val="en-GB" w:eastAsia="zh-CN"/>
              </w:rPr>
              <w:t>FH precedes AS with no GP after FH</w:t>
            </w:r>
          </w:p>
        </w:tc>
        <w:tc>
          <w:tcPr>
            <w:tcW w:w="4706" w:type="dxa"/>
          </w:tcPr>
          <w:p w14:paraId="406F2D96" w14:textId="77777777" w:rsidR="008579E3" w:rsidRDefault="008579E3" w:rsidP="00B32FE0">
            <w:r>
              <w:object w:dxaOrig="6765" w:dyaOrig="6451" w14:anchorId="4D7BA48A">
                <v:shape id="_x0000_i1027" type="#_x0000_t75" style="width:232.5pt;height:221.5pt" o:ole="">
                  <v:imagedata r:id="rId15" o:title=""/>
                </v:shape>
                <o:OLEObject Type="Embed" ProgID="Visio.Drawing.15" ShapeID="_x0000_i1027" DrawAspect="Content" ObjectID="_1634735411" r:id="rId16"/>
              </w:object>
            </w:r>
          </w:p>
          <w:p w14:paraId="0434A2C5" w14:textId="77777777" w:rsidR="008579E3" w:rsidRPr="00A037CE" w:rsidRDefault="008579E3" w:rsidP="00B32FE0">
            <w:pPr>
              <w:pStyle w:val="ListParagraph"/>
              <w:numPr>
                <w:ilvl w:val="0"/>
                <w:numId w:val="30"/>
              </w:numPr>
              <w:rPr>
                <w:rFonts w:ascii="Times New Roman" w:hAnsi="Times New Roman" w:cs="Times New Roman"/>
                <w:lang w:val="en-GB" w:eastAsia="zh-CN"/>
              </w:rPr>
            </w:pPr>
            <w:r w:rsidRPr="00A037CE">
              <w:rPr>
                <w:rFonts w:ascii="Times New Roman" w:hAnsi="Times New Roman" w:cs="Times New Roman"/>
                <w:lang w:val="en-GB" w:eastAsia="zh-CN"/>
              </w:rPr>
              <w:t xml:space="preserve">FH precedes AS with </w:t>
            </w:r>
            <w:r>
              <w:rPr>
                <w:rFonts w:ascii="Times New Roman" w:hAnsi="Times New Roman" w:cs="Times New Roman"/>
                <w:lang w:val="en-GB" w:eastAsia="zh-CN"/>
              </w:rPr>
              <w:t>GP</w:t>
            </w:r>
            <w:r w:rsidRPr="00A037CE">
              <w:rPr>
                <w:rFonts w:ascii="Times New Roman" w:hAnsi="Times New Roman" w:cs="Times New Roman"/>
                <w:lang w:val="en-GB" w:eastAsia="zh-CN"/>
              </w:rPr>
              <w:t xml:space="preserve"> after FH</w:t>
            </w:r>
          </w:p>
        </w:tc>
      </w:tr>
      <w:tr w:rsidR="008579E3" w:rsidRPr="003871FD" w14:paraId="75DDFEE3" w14:textId="77777777" w:rsidTr="006E1371">
        <w:tc>
          <w:tcPr>
            <w:tcW w:w="4654" w:type="dxa"/>
          </w:tcPr>
          <w:p w14:paraId="45CB1307" w14:textId="77777777" w:rsidR="008579E3" w:rsidRDefault="008579E3" w:rsidP="00B32FE0">
            <w:r>
              <w:object w:dxaOrig="6765" w:dyaOrig="6451" w14:anchorId="1B6432E7">
                <v:shape id="_x0000_i1028" type="#_x0000_t75" style="width:224.8pt;height:214.35pt" o:ole="">
                  <v:imagedata r:id="rId17" o:title=""/>
                </v:shape>
                <o:OLEObject Type="Embed" ProgID="Visio.Drawing.15" ShapeID="_x0000_i1028" DrawAspect="Content" ObjectID="_1634735412" r:id="rId18"/>
              </w:object>
            </w:r>
          </w:p>
          <w:p w14:paraId="1AA5D9AC" w14:textId="77777777" w:rsidR="008579E3" w:rsidRPr="00A037CE" w:rsidRDefault="008579E3" w:rsidP="00B32FE0">
            <w:pPr>
              <w:pStyle w:val="ListParagraph"/>
              <w:numPr>
                <w:ilvl w:val="0"/>
                <w:numId w:val="30"/>
              </w:numPr>
              <w:rPr>
                <w:rFonts w:ascii="Times New Roman" w:hAnsi="Times New Roman" w:cs="Times New Roman"/>
                <w:lang w:val="en-GB" w:eastAsia="zh-CN"/>
              </w:rPr>
            </w:pPr>
            <w:r>
              <w:rPr>
                <w:rFonts w:ascii="Times New Roman" w:hAnsi="Times New Roman" w:cs="Times New Roman"/>
                <w:lang w:val="en-GB" w:eastAsia="zh-CN"/>
              </w:rPr>
              <w:t>AS precedes FH with GP after FH</w:t>
            </w:r>
          </w:p>
        </w:tc>
        <w:tc>
          <w:tcPr>
            <w:tcW w:w="4706" w:type="dxa"/>
          </w:tcPr>
          <w:p w14:paraId="679C6510" w14:textId="77777777" w:rsidR="008579E3" w:rsidRDefault="008579E3" w:rsidP="00B32FE0">
            <w:pPr>
              <w:rPr>
                <w:rFonts w:ascii="Times New Roman" w:hAnsi="Times New Roman" w:cs="Times New Roman"/>
                <w:lang w:val="en-GB" w:eastAsia="zh-CN"/>
              </w:rPr>
            </w:pPr>
          </w:p>
        </w:tc>
      </w:tr>
    </w:tbl>
    <w:p w14:paraId="60882FC4" w14:textId="77777777" w:rsidR="008579E3" w:rsidRPr="00F84BF1" w:rsidRDefault="008579E3" w:rsidP="008579E3">
      <w:pPr>
        <w:pStyle w:val="Caption"/>
        <w:jc w:val="left"/>
        <w:rPr>
          <w:rFonts w:ascii="Times New Roman" w:hAnsi="Times New Roman" w:cs="Times New Roman"/>
          <w:lang w:val="en-US" w:eastAsia="zh-CN"/>
        </w:rPr>
      </w:pPr>
      <w:r w:rsidRPr="00F84BF1">
        <w:rPr>
          <w:lang w:val="en-US"/>
        </w:rPr>
        <w:t xml:space="preserve">Figure </w:t>
      </w:r>
      <w:r>
        <w:fldChar w:fldCharType="begin"/>
      </w:r>
      <w:r w:rsidRPr="00F84BF1">
        <w:rPr>
          <w:lang w:val="en-US"/>
        </w:rPr>
        <w:instrText xml:space="preserve"> SEQ Figur \* ARABIC </w:instrText>
      </w:r>
      <w:r>
        <w:fldChar w:fldCharType="separate"/>
      </w:r>
      <w:r w:rsidRPr="00F84BF1">
        <w:rPr>
          <w:noProof/>
          <w:lang w:val="en-US"/>
        </w:rPr>
        <w:t>1</w:t>
      </w:r>
      <w:r>
        <w:fldChar w:fldCharType="end"/>
      </w:r>
      <w:r w:rsidRPr="00F84BF1">
        <w:rPr>
          <w:lang w:val="en-US"/>
        </w:rPr>
        <w:t>: Illustration of different SRS mapping strategies</w:t>
      </w:r>
    </w:p>
    <w:p w14:paraId="17DC40A6" w14:textId="069D492E" w:rsidR="00E34C19" w:rsidRDefault="00005445" w:rsidP="00005445">
      <w:pPr>
        <w:rPr>
          <w:rFonts w:ascii="Times New Roman" w:hAnsi="Times New Roman" w:cs="Times New Roman"/>
          <w:lang w:val="en-GB" w:eastAsia="zh-CN"/>
        </w:rPr>
      </w:pPr>
      <w:r w:rsidRPr="00005445">
        <w:rPr>
          <w:rFonts w:ascii="Times New Roman" w:hAnsi="Times New Roman" w:cs="Times New Roman"/>
          <w:lang w:val="en-GB" w:eastAsia="zh-CN"/>
        </w:rPr>
        <w:t xml:space="preserve">Thus, </w:t>
      </w:r>
      <w:r>
        <w:rPr>
          <w:rFonts w:ascii="Times New Roman" w:hAnsi="Times New Roman" w:cs="Times New Roman"/>
          <w:lang w:val="en-GB" w:eastAsia="zh-CN"/>
        </w:rPr>
        <w:t>given this assumption, the benefit with</w:t>
      </w:r>
      <w:r w:rsidR="00CC5D64">
        <w:rPr>
          <w:rFonts w:ascii="Times New Roman" w:hAnsi="Times New Roman" w:cs="Times New Roman"/>
          <w:lang w:val="en-GB" w:eastAsia="zh-CN"/>
        </w:rPr>
        <w:t xml:space="preserve"> performing frequency hopping before antenna switching vanishes and instead it proves to be an inferior solution compared to first performing antenna switching and then frequency hopping, according to Figure 2c), since the </w:t>
      </w:r>
      <w:r w:rsidR="007604D8">
        <w:rPr>
          <w:rFonts w:ascii="Times New Roman" w:hAnsi="Times New Roman" w:cs="Times New Roman"/>
          <w:lang w:val="en-GB" w:eastAsia="zh-CN"/>
        </w:rPr>
        <w:t>phase drift between the channel of different antenna ports at a certain PRB is larger</w:t>
      </w:r>
      <w:r w:rsidR="004C1522">
        <w:rPr>
          <w:rFonts w:ascii="Times New Roman" w:hAnsi="Times New Roman" w:cs="Times New Roman"/>
          <w:lang w:val="en-GB" w:eastAsia="zh-CN"/>
        </w:rPr>
        <w:t xml:space="preserve"> due to their larger time separation, which </w:t>
      </w:r>
      <w:r w:rsidR="008C0FB1">
        <w:rPr>
          <w:rFonts w:ascii="Times New Roman" w:hAnsi="Times New Roman" w:cs="Times New Roman"/>
          <w:lang w:val="en-GB" w:eastAsia="zh-CN"/>
        </w:rPr>
        <w:t>degrades</w:t>
      </w:r>
      <w:r w:rsidR="004C1522">
        <w:rPr>
          <w:rFonts w:ascii="Times New Roman" w:hAnsi="Times New Roman" w:cs="Times New Roman"/>
          <w:lang w:val="en-GB" w:eastAsia="zh-CN"/>
        </w:rPr>
        <w:t xml:space="preserve"> </w:t>
      </w:r>
      <w:r w:rsidR="00C355B1">
        <w:rPr>
          <w:rFonts w:ascii="Times New Roman" w:hAnsi="Times New Roman" w:cs="Times New Roman"/>
          <w:lang w:val="en-GB" w:eastAsia="zh-CN"/>
        </w:rPr>
        <w:t xml:space="preserve">the DL precoding derived from the SRS channel </w:t>
      </w:r>
      <w:r w:rsidR="008579E3">
        <w:rPr>
          <w:rFonts w:ascii="Times New Roman" w:hAnsi="Times New Roman" w:cs="Times New Roman"/>
          <w:lang w:val="en-GB" w:eastAsia="zh-CN"/>
        </w:rPr>
        <w:t>estimates</w:t>
      </w:r>
      <w:r w:rsidR="00C355B1">
        <w:rPr>
          <w:rFonts w:ascii="Times New Roman" w:hAnsi="Times New Roman" w:cs="Times New Roman"/>
          <w:lang w:val="en-GB" w:eastAsia="zh-CN"/>
        </w:rPr>
        <w:t>.</w:t>
      </w:r>
      <w:r w:rsidR="00E34C19">
        <w:rPr>
          <w:rFonts w:ascii="Times New Roman" w:hAnsi="Times New Roman" w:cs="Times New Roman"/>
          <w:lang w:val="en-GB" w:eastAsia="zh-CN"/>
        </w:rPr>
        <w:t xml:space="preserve"> We</w:t>
      </w:r>
      <w:r w:rsidR="00F96275">
        <w:rPr>
          <w:rFonts w:ascii="Times New Roman" w:hAnsi="Times New Roman" w:cs="Times New Roman"/>
          <w:lang w:val="en-GB" w:eastAsia="zh-CN"/>
        </w:rPr>
        <w:t xml:space="preserve"> summarize the best </w:t>
      </w:r>
      <w:r w:rsidR="00D71FA0">
        <w:rPr>
          <w:rFonts w:ascii="Times New Roman" w:hAnsi="Times New Roman" w:cs="Times New Roman"/>
          <w:lang w:val="en-GB" w:eastAsia="zh-CN"/>
        </w:rPr>
        <w:t>SRS pattern given a certain GP configuration in Table 1.</w:t>
      </w:r>
    </w:p>
    <w:p w14:paraId="5B0D1492" w14:textId="77777777" w:rsidR="00C93937" w:rsidRDefault="00C93937" w:rsidP="00005445">
      <w:pPr>
        <w:rPr>
          <w:rFonts w:ascii="Times New Roman" w:hAnsi="Times New Roman" w:cs="Times New Roman"/>
          <w:lang w:val="en-GB" w:eastAsia="zh-CN"/>
        </w:rPr>
      </w:pPr>
    </w:p>
    <w:p w14:paraId="58A4E043" w14:textId="024B8AF7" w:rsidR="00E34C19" w:rsidRPr="00F84BF1" w:rsidRDefault="00E34C19" w:rsidP="00F96275">
      <w:pPr>
        <w:pStyle w:val="Caption"/>
        <w:keepNext/>
        <w:rPr>
          <w:lang w:val="en-US"/>
        </w:rPr>
      </w:pPr>
      <w:r w:rsidRPr="00F84BF1">
        <w:rPr>
          <w:lang w:val="en-US"/>
        </w:rPr>
        <w:t xml:space="preserve">Table </w:t>
      </w:r>
      <w:r>
        <w:fldChar w:fldCharType="begin"/>
      </w:r>
      <w:r w:rsidRPr="00F84BF1">
        <w:rPr>
          <w:lang w:val="en-US"/>
        </w:rPr>
        <w:instrText xml:space="preserve"> SEQ Table \* ARABIC </w:instrText>
      </w:r>
      <w:r>
        <w:fldChar w:fldCharType="separate"/>
      </w:r>
      <w:r w:rsidRPr="00F84BF1">
        <w:rPr>
          <w:noProof/>
          <w:lang w:val="en-US"/>
        </w:rPr>
        <w:t>1</w:t>
      </w:r>
      <w:r>
        <w:fldChar w:fldCharType="end"/>
      </w:r>
      <w:r w:rsidRPr="00F84BF1">
        <w:rPr>
          <w:lang w:val="en-US"/>
        </w:rPr>
        <w:t>: Best SRS pattern given GP configuration for</w:t>
      </w:r>
      <w:r w:rsidR="00F96275" w:rsidRPr="00F84BF1">
        <w:rPr>
          <w:lang w:val="en-US"/>
        </w:rPr>
        <w:t xml:space="preserve"> FH and AS</w:t>
      </w:r>
    </w:p>
    <w:tbl>
      <w:tblPr>
        <w:tblStyle w:val="GridTable5Dark-Accent5"/>
        <w:tblW w:w="0" w:type="auto"/>
        <w:jc w:val="center"/>
        <w:tblLook w:val="04A0" w:firstRow="1" w:lastRow="0" w:firstColumn="1" w:lastColumn="0" w:noHBand="0" w:noVBand="1"/>
      </w:tblPr>
      <w:tblGrid>
        <w:gridCol w:w="669"/>
        <w:gridCol w:w="1389"/>
        <w:gridCol w:w="1365"/>
        <w:gridCol w:w="1830"/>
      </w:tblGrid>
      <w:tr w:rsidR="004D1DBD" w14:paraId="7F3BB68A" w14:textId="77777777" w:rsidTr="00F9627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515F82E" w14:textId="672B602E"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Case</w:t>
            </w:r>
          </w:p>
        </w:tc>
        <w:tc>
          <w:tcPr>
            <w:tcW w:w="0" w:type="auto"/>
          </w:tcPr>
          <w:p w14:paraId="56DECB9C" w14:textId="769B0625" w:rsidR="004D1DBD" w:rsidRDefault="004D1DBD" w:rsidP="00F962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GP after FH</w:t>
            </w:r>
          </w:p>
        </w:tc>
        <w:tc>
          <w:tcPr>
            <w:tcW w:w="0" w:type="auto"/>
          </w:tcPr>
          <w:p w14:paraId="771353BF" w14:textId="64AF2D32" w:rsidR="004D1DBD" w:rsidRDefault="004D1DBD" w:rsidP="00F962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GP after AS</w:t>
            </w:r>
          </w:p>
        </w:tc>
        <w:tc>
          <w:tcPr>
            <w:tcW w:w="0" w:type="auto"/>
          </w:tcPr>
          <w:p w14:paraId="3C3603C7" w14:textId="0D050FA6" w:rsidR="004D1DBD" w:rsidRDefault="004D1DBD" w:rsidP="00F962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Best SRS pattern</w:t>
            </w:r>
          </w:p>
        </w:tc>
      </w:tr>
      <w:tr w:rsidR="004D1DBD" w14:paraId="33E0C93F" w14:textId="77777777" w:rsidTr="00F962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0D6D6C0" w14:textId="0615B9AE"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1</w:t>
            </w:r>
          </w:p>
        </w:tc>
        <w:tc>
          <w:tcPr>
            <w:tcW w:w="0" w:type="auto"/>
          </w:tcPr>
          <w:p w14:paraId="3CF95F17" w14:textId="6DBCA895"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No</w:t>
            </w:r>
          </w:p>
        </w:tc>
        <w:tc>
          <w:tcPr>
            <w:tcW w:w="0" w:type="auto"/>
          </w:tcPr>
          <w:p w14:paraId="71BA9864" w14:textId="7ADA654D"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No</w:t>
            </w:r>
          </w:p>
        </w:tc>
        <w:tc>
          <w:tcPr>
            <w:tcW w:w="0" w:type="auto"/>
          </w:tcPr>
          <w:p w14:paraId="45C1B8F1" w14:textId="3447B3CD"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AS precedes FH</w:t>
            </w:r>
          </w:p>
        </w:tc>
      </w:tr>
      <w:tr w:rsidR="004D1DBD" w14:paraId="4D49DF15" w14:textId="77777777" w:rsidTr="00F96275">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1954B9B" w14:textId="0A80EA15"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2</w:t>
            </w:r>
          </w:p>
        </w:tc>
        <w:tc>
          <w:tcPr>
            <w:tcW w:w="0" w:type="auto"/>
          </w:tcPr>
          <w:p w14:paraId="67824B5A" w14:textId="34133CC8" w:rsidR="004D1DBD" w:rsidRDefault="004D1DBD"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No</w:t>
            </w:r>
          </w:p>
        </w:tc>
        <w:tc>
          <w:tcPr>
            <w:tcW w:w="0" w:type="auto"/>
          </w:tcPr>
          <w:p w14:paraId="7634471A" w14:textId="7FFD8192" w:rsidR="004D1DBD" w:rsidRDefault="004D1DBD"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Yes</w:t>
            </w:r>
          </w:p>
        </w:tc>
        <w:tc>
          <w:tcPr>
            <w:tcW w:w="0" w:type="auto"/>
          </w:tcPr>
          <w:p w14:paraId="0C91B7EE" w14:textId="7084F2BB" w:rsidR="004D1DBD" w:rsidRDefault="00224DD7"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FH prece</w:t>
            </w:r>
            <w:r w:rsidR="00B92FA9">
              <w:rPr>
                <w:rFonts w:ascii="Times New Roman" w:hAnsi="Times New Roman" w:cs="Times New Roman"/>
                <w:lang w:val="en-GB" w:eastAsia="zh-CN"/>
              </w:rPr>
              <w:t>des AS</w:t>
            </w:r>
          </w:p>
        </w:tc>
      </w:tr>
      <w:tr w:rsidR="004D1DBD" w14:paraId="256BF6E5" w14:textId="77777777" w:rsidTr="00F962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5FFF642" w14:textId="054E3824"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3</w:t>
            </w:r>
          </w:p>
        </w:tc>
        <w:tc>
          <w:tcPr>
            <w:tcW w:w="0" w:type="auto"/>
          </w:tcPr>
          <w:p w14:paraId="6796FC58" w14:textId="3884344E"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Yes</w:t>
            </w:r>
          </w:p>
        </w:tc>
        <w:tc>
          <w:tcPr>
            <w:tcW w:w="0" w:type="auto"/>
          </w:tcPr>
          <w:p w14:paraId="61F807E2" w14:textId="5C4BD5CC"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No</w:t>
            </w:r>
          </w:p>
        </w:tc>
        <w:tc>
          <w:tcPr>
            <w:tcW w:w="0" w:type="auto"/>
          </w:tcPr>
          <w:p w14:paraId="265BA8EB" w14:textId="5620C1DD" w:rsidR="004D1DBD" w:rsidRDefault="00407D3E"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AS precedes FH</w:t>
            </w:r>
          </w:p>
        </w:tc>
      </w:tr>
      <w:tr w:rsidR="004D1DBD" w14:paraId="21B84EC9" w14:textId="77777777" w:rsidTr="00F96275">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9EB7985" w14:textId="1B5ACBEE"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4</w:t>
            </w:r>
          </w:p>
        </w:tc>
        <w:tc>
          <w:tcPr>
            <w:tcW w:w="0" w:type="auto"/>
          </w:tcPr>
          <w:p w14:paraId="19A1C45A" w14:textId="4B02B96B" w:rsidR="004D1DBD" w:rsidRDefault="004D1DBD"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Yes</w:t>
            </w:r>
          </w:p>
        </w:tc>
        <w:tc>
          <w:tcPr>
            <w:tcW w:w="0" w:type="auto"/>
          </w:tcPr>
          <w:p w14:paraId="4F234EA3" w14:textId="56A3B17A" w:rsidR="004D1DBD" w:rsidRDefault="004D1DBD"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Yes</w:t>
            </w:r>
          </w:p>
        </w:tc>
        <w:tc>
          <w:tcPr>
            <w:tcW w:w="0" w:type="auto"/>
          </w:tcPr>
          <w:p w14:paraId="6DF66CC9" w14:textId="5ECDD59F" w:rsidR="004D1DBD" w:rsidRDefault="00407D3E"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AS precedes FH</w:t>
            </w:r>
          </w:p>
        </w:tc>
      </w:tr>
    </w:tbl>
    <w:p w14:paraId="22648B6C" w14:textId="77777777" w:rsidR="00CE0ADB" w:rsidRDefault="00CE0ADB" w:rsidP="00005445">
      <w:pPr>
        <w:rPr>
          <w:rFonts w:ascii="Times New Roman" w:hAnsi="Times New Roman" w:cs="Times New Roman"/>
          <w:lang w:val="en-GB" w:eastAsia="zh-CN"/>
        </w:rPr>
      </w:pPr>
    </w:p>
    <w:p w14:paraId="08E91341" w14:textId="2BDBA63C" w:rsidR="00005445" w:rsidRDefault="00D71FA0" w:rsidP="00005445">
      <w:pPr>
        <w:rPr>
          <w:rFonts w:ascii="Times New Roman" w:hAnsi="Times New Roman" w:cs="Times New Roman"/>
          <w:lang w:val="en-GB" w:eastAsia="zh-CN"/>
        </w:rPr>
      </w:pPr>
      <w:r>
        <w:rPr>
          <w:rFonts w:ascii="Times New Roman" w:hAnsi="Times New Roman" w:cs="Times New Roman"/>
          <w:lang w:val="en-GB" w:eastAsia="zh-CN"/>
        </w:rPr>
        <w:t xml:space="preserve">As can be seen, </w:t>
      </w:r>
      <w:r w:rsidR="00CD44ED">
        <w:rPr>
          <w:rFonts w:ascii="Times New Roman" w:hAnsi="Times New Roman" w:cs="Times New Roman"/>
          <w:lang w:val="en-GB" w:eastAsia="zh-CN"/>
        </w:rPr>
        <w:t xml:space="preserve">following the working assumption (FH precedes AS) is only beneficial for one out of the four cases of GP configuration. Furthermore, it has not been decided yet if </w:t>
      </w:r>
      <w:r w:rsidR="00D205E0">
        <w:rPr>
          <w:rFonts w:ascii="Times New Roman" w:hAnsi="Times New Roman" w:cs="Times New Roman"/>
          <w:lang w:val="en-GB" w:eastAsia="zh-CN"/>
        </w:rPr>
        <w:t xml:space="preserve">RAN4 will introduce separate GP capability for FH and AS or if a joint capability is used, so it could potentially be so that no UE is capable of being configured with case 2. </w:t>
      </w:r>
      <w:r w:rsidR="00F25DD9">
        <w:rPr>
          <w:rFonts w:ascii="Times New Roman" w:hAnsi="Times New Roman" w:cs="Times New Roman"/>
          <w:lang w:val="en-GB" w:eastAsia="zh-CN"/>
        </w:rPr>
        <w:t xml:space="preserve"> Therefore,</w:t>
      </w:r>
      <w:r w:rsidR="00C355B1">
        <w:rPr>
          <w:rFonts w:ascii="Times New Roman" w:hAnsi="Times New Roman" w:cs="Times New Roman"/>
          <w:lang w:val="en-GB" w:eastAsia="zh-CN"/>
        </w:rPr>
        <w:t xml:space="preserve"> </w:t>
      </w:r>
      <w:r w:rsidR="008579E3">
        <w:rPr>
          <w:rFonts w:ascii="Times New Roman" w:hAnsi="Times New Roman" w:cs="Times New Roman"/>
          <w:lang w:val="en-GB" w:eastAsia="zh-CN"/>
        </w:rPr>
        <w:t>the working assumption should be rejected and</w:t>
      </w:r>
      <w:r w:rsidR="00F25DD9">
        <w:rPr>
          <w:rFonts w:ascii="Times New Roman" w:hAnsi="Times New Roman" w:cs="Times New Roman"/>
          <w:lang w:val="en-GB" w:eastAsia="zh-CN"/>
        </w:rPr>
        <w:t xml:space="preserve"> AS should be performed before FH.</w:t>
      </w:r>
    </w:p>
    <w:p w14:paraId="2CF60BD6" w14:textId="2A476432" w:rsidR="008579E3" w:rsidRPr="00005445" w:rsidRDefault="008579E3" w:rsidP="008579E3">
      <w:pPr>
        <w:pStyle w:val="Proposal"/>
        <w:rPr>
          <w:lang w:val="en-GB" w:eastAsia="zh-CN"/>
        </w:rPr>
      </w:pPr>
      <w:bookmarkStart w:id="0" w:name="_Toc16668478"/>
      <w:bookmarkStart w:id="1" w:name="_Toc16774925"/>
      <w:bookmarkStart w:id="2" w:name="_Toc16774949"/>
      <w:bookmarkStart w:id="3" w:name="_Toc16852854"/>
      <w:bookmarkStart w:id="4" w:name="_Toc20836703"/>
      <w:bookmarkStart w:id="5" w:name="_Toc20996290"/>
      <w:bookmarkStart w:id="6" w:name="_Toc21017445"/>
      <w:bookmarkStart w:id="7" w:name="_Toc21098997"/>
      <w:bookmarkStart w:id="8" w:name="_Toc23769201"/>
      <w:bookmarkStart w:id="9" w:name="_Toc24031823"/>
      <w:bookmarkStart w:id="10" w:name="_Toc24122414"/>
      <w:r w:rsidRPr="008579E3">
        <w:rPr>
          <w:lang w:val="en-GB" w:eastAsia="zh-CN"/>
        </w:rPr>
        <w:lastRenderedPageBreak/>
        <w:t xml:space="preserve">When intra-subframe frequency hopping/repetition and intra-subframe antenna switching are concurrently configured, </w:t>
      </w:r>
      <w:r>
        <w:rPr>
          <w:lang w:val="en-GB" w:eastAsia="zh-CN"/>
        </w:rPr>
        <w:t>antenna switching</w:t>
      </w:r>
      <w:r w:rsidRPr="008579E3">
        <w:rPr>
          <w:lang w:val="en-GB" w:eastAsia="zh-CN"/>
        </w:rPr>
        <w:t xml:space="preserve"> should be performed before </w:t>
      </w:r>
      <w:r>
        <w:rPr>
          <w:lang w:val="en-GB" w:eastAsia="zh-CN"/>
        </w:rPr>
        <w:t xml:space="preserve">frequency hopping. </w:t>
      </w:r>
      <w:r w:rsidR="009E4045">
        <w:rPr>
          <w:lang w:val="en-GB" w:eastAsia="zh-CN"/>
        </w:rPr>
        <w:t>i</w:t>
      </w:r>
      <w:r>
        <w:rPr>
          <w:lang w:val="en-GB" w:eastAsia="zh-CN"/>
        </w:rPr>
        <w:t>.e. the working assumption at RAN1#97 is rejected.</w:t>
      </w:r>
      <w:bookmarkEnd w:id="0"/>
      <w:bookmarkEnd w:id="1"/>
      <w:bookmarkEnd w:id="2"/>
      <w:bookmarkEnd w:id="3"/>
      <w:bookmarkEnd w:id="4"/>
      <w:bookmarkEnd w:id="5"/>
      <w:bookmarkEnd w:id="6"/>
      <w:bookmarkEnd w:id="7"/>
      <w:bookmarkEnd w:id="8"/>
      <w:bookmarkEnd w:id="9"/>
      <w:bookmarkEnd w:id="10"/>
    </w:p>
    <w:p w14:paraId="7C683FDA" w14:textId="3E103AA1" w:rsidR="00F02FD4" w:rsidRDefault="00F4044E" w:rsidP="00C257E1">
      <w:pPr>
        <w:pStyle w:val="Heading1"/>
      </w:pPr>
      <w:r>
        <w:t>Remaining issues on power control and PHR reporting</w:t>
      </w:r>
    </w:p>
    <w:p w14:paraId="6E07AD89" w14:textId="6EEF1B11" w:rsidR="00891B0B" w:rsidRDefault="00F11345" w:rsidP="00264CBF">
      <w:pPr>
        <w:rPr>
          <w:rFonts w:ascii="Times New Roman" w:hAnsi="Times New Roman" w:cs="Times New Roman"/>
          <w:lang w:val="en-US"/>
        </w:rPr>
      </w:pPr>
      <w:r>
        <w:rPr>
          <w:rFonts w:ascii="Times New Roman" w:hAnsi="Times New Roman" w:cs="Times New Roman"/>
          <w:lang w:val="en-US"/>
        </w:rPr>
        <w:t>It has been agreed that TPC commands for additional SRS can be issued with DCI Formats 3/</w:t>
      </w:r>
      <w:r w:rsidR="003871FD">
        <w:rPr>
          <w:rFonts w:ascii="Times New Roman" w:hAnsi="Times New Roman" w:cs="Times New Roman"/>
          <w:lang w:val="en-US"/>
        </w:rPr>
        <w:t>3</w:t>
      </w:r>
      <w:r>
        <w:rPr>
          <w:rFonts w:ascii="Times New Roman" w:hAnsi="Times New Roman" w:cs="Times New Roman"/>
          <w:lang w:val="en-US"/>
        </w:rPr>
        <w:t xml:space="preserve">A and 3B while it was left for further study whether to introduce functionality to issue TPC commands for additional SRS using UL/DL grants. Since the TPC command in UL and DL grants are used for PUSCH/legacy SRS and PUCCH respectively, it is not advisable to apply the same TPC commands also to additional SRS, since independent PC parameters are used. </w:t>
      </w:r>
    </w:p>
    <w:p w14:paraId="4D6EDFA6" w14:textId="5F0CE902" w:rsidR="00F11345" w:rsidRDefault="00F11345" w:rsidP="00F11345">
      <w:pPr>
        <w:pStyle w:val="Proposal"/>
        <w:rPr>
          <w:lang w:val="en-US" w:eastAsia="zh-CN"/>
        </w:rPr>
      </w:pPr>
      <w:bookmarkStart w:id="11" w:name="_Toc23769202"/>
      <w:bookmarkStart w:id="12" w:name="_Toc24031824"/>
      <w:bookmarkStart w:id="13" w:name="_Toc24122415"/>
      <w:r>
        <w:rPr>
          <w:lang w:val="en-US" w:eastAsia="zh-CN"/>
        </w:rPr>
        <w:t>Do not support sending TPC commands for additional SRS symbols us</w:t>
      </w:r>
      <w:r w:rsidR="003A3A0E">
        <w:rPr>
          <w:lang w:val="en-US" w:eastAsia="zh-CN"/>
        </w:rPr>
        <w:t>ing other DCI formats than 3/3A/3B</w:t>
      </w:r>
      <w:bookmarkEnd w:id="11"/>
      <w:bookmarkEnd w:id="12"/>
      <w:bookmarkEnd w:id="13"/>
    </w:p>
    <w:p w14:paraId="146E710D" w14:textId="61357729" w:rsidR="003A3A0E" w:rsidRDefault="003A3A0E" w:rsidP="003A3A0E">
      <w:pPr>
        <w:rPr>
          <w:rFonts w:ascii="Times New Roman" w:hAnsi="Times New Roman" w:cs="Times New Roman"/>
          <w:lang w:val="en-US" w:eastAsia="zh-CN"/>
        </w:rPr>
      </w:pPr>
      <w:r>
        <w:rPr>
          <w:rFonts w:ascii="Times New Roman" w:hAnsi="Times New Roman" w:cs="Times New Roman"/>
          <w:lang w:val="en-US" w:eastAsia="zh-CN"/>
        </w:rPr>
        <w:t xml:space="preserve">It was furthermore agreed in RAN1#98bis that PHR Type 3 reports can be used to selectively report PHR for </w:t>
      </w:r>
      <w:r w:rsidRPr="003A3A0E">
        <w:rPr>
          <w:rFonts w:ascii="Times New Roman" w:hAnsi="Times New Roman" w:cs="Times New Roman"/>
          <w:lang w:val="en-US" w:eastAsia="zh-CN"/>
        </w:rPr>
        <w:t xml:space="preserve">additional SRS or PUSCH-less </w:t>
      </w:r>
      <w:proofErr w:type="spellStart"/>
      <w:r w:rsidRPr="003A3A0E">
        <w:rPr>
          <w:rFonts w:ascii="Times New Roman" w:hAnsi="Times New Roman" w:cs="Times New Roman"/>
          <w:lang w:val="en-US" w:eastAsia="zh-CN"/>
        </w:rPr>
        <w:t>SCell</w:t>
      </w:r>
      <w:proofErr w:type="spellEnd"/>
      <w:r w:rsidRPr="003A3A0E">
        <w:rPr>
          <w:rFonts w:ascii="Times New Roman" w:hAnsi="Times New Roman" w:cs="Times New Roman"/>
          <w:lang w:val="en-US" w:eastAsia="zh-CN"/>
        </w:rPr>
        <w:t xml:space="preserve"> SRS</w:t>
      </w:r>
      <w:r>
        <w:rPr>
          <w:rFonts w:ascii="Times New Roman" w:hAnsi="Times New Roman" w:cs="Times New Roman"/>
          <w:lang w:val="en-US" w:eastAsia="zh-CN"/>
        </w:rPr>
        <w:t xml:space="preserve">. In our view, for a PUSCH-less </w:t>
      </w:r>
      <w:proofErr w:type="spellStart"/>
      <w:r>
        <w:rPr>
          <w:rFonts w:ascii="Times New Roman" w:hAnsi="Times New Roman" w:cs="Times New Roman"/>
          <w:lang w:val="en-US" w:eastAsia="zh-CN"/>
        </w:rPr>
        <w:t>SCell</w:t>
      </w:r>
      <w:proofErr w:type="spellEnd"/>
      <w:r>
        <w:rPr>
          <w:rFonts w:ascii="Times New Roman" w:hAnsi="Times New Roman" w:cs="Times New Roman"/>
          <w:lang w:val="en-US" w:eastAsia="zh-CN"/>
        </w:rPr>
        <w:t xml:space="preserve">, it should be sufficient to configure either the legacy </w:t>
      </w:r>
      <w:r w:rsidRPr="003A3A0E">
        <w:rPr>
          <w:rFonts w:ascii="Times New Roman" w:hAnsi="Times New Roman" w:cs="Times New Roman"/>
          <w:lang w:val="en-US" w:eastAsia="zh-CN"/>
        </w:rPr>
        <w:t xml:space="preserve">PUSCH-less </w:t>
      </w:r>
      <w:proofErr w:type="spellStart"/>
      <w:r w:rsidRPr="003A3A0E">
        <w:rPr>
          <w:rFonts w:ascii="Times New Roman" w:hAnsi="Times New Roman" w:cs="Times New Roman"/>
          <w:lang w:val="en-US" w:eastAsia="zh-CN"/>
        </w:rPr>
        <w:t>SCell</w:t>
      </w:r>
      <w:proofErr w:type="spellEnd"/>
      <w:r w:rsidRPr="003A3A0E">
        <w:rPr>
          <w:rFonts w:ascii="Times New Roman" w:hAnsi="Times New Roman" w:cs="Times New Roman"/>
          <w:lang w:val="en-US" w:eastAsia="zh-CN"/>
        </w:rPr>
        <w:t xml:space="preserve"> SRS</w:t>
      </w:r>
      <w:r>
        <w:rPr>
          <w:rFonts w:ascii="Times New Roman" w:hAnsi="Times New Roman" w:cs="Times New Roman"/>
          <w:lang w:val="en-US" w:eastAsia="zh-CN"/>
        </w:rPr>
        <w:t xml:space="preserve"> or Rel-16 additional</w:t>
      </w:r>
      <w:r w:rsidRPr="003A3A0E">
        <w:rPr>
          <w:rFonts w:ascii="Times New Roman" w:hAnsi="Times New Roman" w:cs="Times New Roman"/>
          <w:lang w:val="en-US" w:eastAsia="zh-CN"/>
        </w:rPr>
        <w:t xml:space="preserve"> SRS</w:t>
      </w:r>
      <w:r>
        <w:rPr>
          <w:rFonts w:ascii="Times New Roman" w:hAnsi="Times New Roman" w:cs="Times New Roman"/>
          <w:lang w:val="en-US" w:eastAsia="zh-CN"/>
        </w:rPr>
        <w:t>, they do not need to be concurrently configured.</w:t>
      </w:r>
    </w:p>
    <w:p w14:paraId="0A798FAE" w14:textId="3936C9E5" w:rsidR="003A3A0E" w:rsidRPr="003A3A0E" w:rsidRDefault="003A3A0E" w:rsidP="003A3A0E">
      <w:pPr>
        <w:pStyle w:val="Proposal"/>
        <w:rPr>
          <w:rFonts w:cstheme="minorHAnsi"/>
          <w:lang w:val="en-US" w:eastAsia="zh-CN"/>
        </w:rPr>
      </w:pPr>
      <w:bookmarkStart w:id="14" w:name="_Toc23769203"/>
      <w:bookmarkStart w:id="15" w:name="_Toc24031825"/>
      <w:bookmarkStart w:id="16" w:name="_Toc24122416"/>
      <w:r w:rsidRPr="003A3A0E">
        <w:rPr>
          <w:rFonts w:cstheme="minorHAnsi"/>
          <w:lang w:val="en-US" w:eastAsia="zh-CN"/>
        </w:rPr>
        <w:t xml:space="preserve">For PUSCH-less </w:t>
      </w:r>
      <w:proofErr w:type="spellStart"/>
      <w:r w:rsidRPr="003A3A0E">
        <w:rPr>
          <w:rFonts w:cstheme="minorHAnsi"/>
          <w:lang w:val="en-US" w:eastAsia="zh-CN"/>
        </w:rPr>
        <w:t>SCell</w:t>
      </w:r>
      <w:proofErr w:type="spellEnd"/>
      <w:r w:rsidRPr="003A3A0E">
        <w:rPr>
          <w:rFonts w:cstheme="minorHAnsi"/>
          <w:lang w:val="en-US" w:eastAsia="zh-CN"/>
        </w:rPr>
        <w:t xml:space="preserve">, the UE can either be configured with legacy PUSCH-less </w:t>
      </w:r>
      <w:proofErr w:type="spellStart"/>
      <w:r w:rsidRPr="003A3A0E">
        <w:rPr>
          <w:rFonts w:cstheme="minorHAnsi"/>
          <w:lang w:val="en-US" w:eastAsia="zh-CN"/>
        </w:rPr>
        <w:t>SCell</w:t>
      </w:r>
      <w:proofErr w:type="spellEnd"/>
      <w:r w:rsidRPr="003A3A0E">
        <w:rPr>
          <w:rFonts w:cstheme="minorHAnsi"/>
          <w:lang w:val="en-US" w:eastAsia="zh-CN"/>
        </w:rPr>
        <w:t xml:space="preserve"> SRS or Rel-16 additional SRS, not both concurrently</w:t>
      </w:r>
      <w:bookmarkEnd w:id="14"/>
      <w:bookmarkEnd w:id="15"/>
      <w:bookmarkEnd w:id="16"/>
    </w:p>
    <w:p w14:paraId="05EC21A6" w14:textId="7AB98B4E" w:rsidR="003A3A0E" w:rsidRDefault="003A3A0E" w:rsidP="003A3A0E">
      <w:pPr>
        <w:rPr>
          <w:rFonts w:ascii="Times New Roman" w:hAnsi="Times New Roman" w:cs="Times New Roman"/>
          <w:lang w:val="en-US" w:eastAsia="zh-CN"/>
        </w:rPr>
      </w:pPr>
      <w:r w:rsidRPr="003A3A0E">
        <w:rPr>
          <w:rFonts w:ascii="Times New Roman" w:hAnsi="Times New Roman" w:cs="Times New Roman"/>
          <w:lang w:val="en-US" w:eastAsia="zh-CN"/>
        </w:rPr>
        <w:t>Therefore</w:t>
      </w:r>
      <w:r>
        <w:rPr>
          <w:rFonts w:ascii="Times New Roman" w:hAnsi="Times New Roman" w:cs="Times New Roman"/>
          <w:lang w:val="en-US" w:eastAsia="zh-CN"/>
        </w:rPr>
        <w:t xml:space="preserve">, for a PUSCH-less </w:t>
      </w:r>
      <w:proofErr w:type="spellStart"/>
      <w:r>
        <w:rPr>
          <w:rFonts w:ascii="Times New Roman" w:hAnsi="Times New Roman" w:cs="Times New Roman"/>
          <w:lang w:val="en-US" w:eastAsia="zh-CN"/>
        </w:rPr>
        <w:t>SCell</w:t>
      </w:r>
      <w:proofErr w:type="spellEnd"/>
      <w:r>
        <w:rPr>
          <w:rFonts w:ascii="Times New Roman" w:hAnsi="Times New Roman" w:cs="Times New Roman"/>
          <w:lang w:val="en-US" w:eastAsia="zh-CN"/>
        </w:rPr>
        <w:t>, there is only one SRS configured and only a single Type 3 PHR report.</w:t>
      </w:r>
    </w:p>
    <w:p w14:paraId="3B22250D" w14:textId="470D771E" w:rsidR="003A3A0E" w:rsidRDefault="003A3A0E" w:rsidP="003A3A0E">
      <w:pPr>
        <w:pStyle w:val="Proposal"/>
        <w:rPr>
          <w:lang w:val="en-US" w:eastAsia="zh-CN"/>
        </w:rPr>
      </w:pPr>
      <w:bookmarkStart w:id="17" w:name="_Toc23769204"/>
      <w:bookmarkStart w:id="18" w:name="_Toc24031826"/>
      <w:bookmarkStart w:id="19" w:name="_Toc24122417"/>
      <w:r>
        <w:rPr>
          <w:lang w:val="en-US" w:eastAsia="zh-CN"/>
        </w:rPr>
        <w:t xml:space="preserve">For PUSCH-less </w:t>
      </w:r>
      <w:proofErr w:type="spellStart"/>
      <w:r>
        <w:rPr>
          <w:lang w:val="en-US" w:eastAsia="zh-CN"/>
        </w:rPr>
        <w:t>SCell</w:t>
      </w:r>
      <w:proofErr w:type="spellEnd"/>
      <w:r>
        <w:rPr>
          <w:lang w:val="en-US" w:eastAsia="zh-CN"/>
        </w:rPr>
        <w:t xml:space="preserve">, the UE reports either Type 3 PHR for </w:t>
      </w:r>
      <w:r w:rsidRPr="003A3A0E">
        <w:rPr>
          <w:rFonts w:cstheme="minorHAnsi"/>
          <w:lang w:val="en-US" w:eastAsia="zh-CN"/>
        </w:rPr>
        <w:t>Rel-16 additional SRS</w:t>
      </w:r>
      <w:r>
        <w:rPr>
          <w:rFonts w:cstheme="minorHAnsi"/>
          <w:lang w:val="en-US" w:eastAsia="zh-CN"/>
        </w:rPr>
        <w:t xml:space="preserve"> or Type 3 PHR for </w:t>
      </w:r>
      <w:r w:rsidRPr="003A3A0E">
        <w:rPr>
          <w:rFonts w:cstheme="minorHAnsi"/>
          <w:lang w:val="en-US" w:eastAsia="zh-CN"/>
        </w:rPr>
        <w:t xml:space="preserve">legacy PUSCH-less </w:t>
      </w:r>
      <w:proofErr w:type="spellStart"/>
      <w:r w:rsidRPr="003A3A0E">
        <w:rPr>
          <w:rFonts w:cstheme="minorHAnsi"/>
          <w:lang w:val="en-US" w:eastAsia="zh-CN"/>
        </w:rPr>
        <w:t>SCell</w:t>
      </w:r>
      <w:proofErr w:type="spellEnd"/>
      <w:r w:rsidRPr="003A3A0E">
        <w:rPr>
          <w:rFonts w:cstheme="minorHAnsi"/>
          <w:lang w:val="en-US" w:eastAsia="zh-CN"/>
        </w:rPr>
        <w:t xml:space="preserve"> SRS</w:t>
      </w:r>
      <w:bookmarkEnd w:id="17"/>
      <w:bookmarkEnd w:id="18"/>
      <w:bookmarkEnd w:id="19"/>
    </w:p>
    <w:p w14:paraId="3397A708" w14:textId="02A7BBD6" w:rsidR="003A3A0E" w:rsidRDefault="003A3A0E" w:rsidP="003A3A0E">
      <w:pPr>
        <w:rPr>
          <w:rFonts w:ascii="Times New Roman" w:hAnsi="Times New Roman" w:cs="Times New Roman"/>
          <w:lang w:val="en-US" w:eastAsia="zh-CN"/>
        </w:rPr>
      </w:pPr>
      <w:r>
        <w:rPr>
          <w:rFonts w:ascii="Times New Roman" w:hAnsi="Times New Roman" w:cs="Times New Roman"/>
          <w:lang w:val="en-US" w:eastAsia="zh-CN"/>
        </w:rPr>
        <w:t xml:space="preserve">However, additional SRS can also be configured for a </w:t>
      </w:r>
      <w:proofErr w:type="spellStart"/>
      <w:r>
        <w:rPr>
          <w:rFonts w:ascii="Times New Roman" w:hAnsi="Times New Roman" w:cs="Times New Roman"/>
          <w:lang w:val="en-US" w:eastAsia="zh-CN"/>
        </w:rPr>
        <w:t>PCell</w:t>
      </w:r>
      <w:proofErr w:type="spellEnd"/>
      <w:r>
        <w:rPr>
          <w:rFonts w:ascii="Times New Roman" w:hAnsi="Times New Roman" w:cs="Times New Roman"/>
          <w:lang w:val="en-US" w:eastAsia="zh-CN"/>
        </w:rPr>
        <w:t xml:space="preserve"> or an </w:t>
      </w:r>
      <w:proofErr w:type="spellStart"/>
      <w:r>
        <w:rPr>
          <w:rFonts w:ascii="Times New Roman" w:hAnsi="Times New Roman" w:cs="Times New Roman"/>
          <w:lang w:val="en-US" w:eastAsia="zh-CN"/>
        </w:rPr>
        <w:t>SCell</w:t>
      </w:r>
      <w:proofErr w:type="spellEnd"/>
      <w:r>
        <w:rPr>
          <w:rFonts w:ascii="Times New Roman" w:hAnsi="Times New Roman" w:cs="Times New Roman"/>
          <w:lang w:val="en-US" w:eastAsia="zh-CN"/>
        </w:rPr>
        <w:t xml:space="preserve"> with PUSCH. Since the power control loop is independent for </w:t>
      </w:r>
      <w:r w:rsidR="00634343">
        <w:rPr>
          <w:rFonts w:ascii="Times New Roman" w:hAnsi="Times New Roman" w:cs="Times New Roman"/>
          <w:lang w:val="en-US" w:eastAsia="zh-CN"/>
        </w:rPr>
        <w:t>additional</w:t>
      </w:r>
      <w:r>
        <w:rPr>
          <w:rFonts w:ascii="Times New Roman" w:hAnsi="Times New Roman" w:cs="Times New Roman"/>
          <w:lang w:val="en-US" w:eastAsia="zh-CN"/>
        </w:rPr>
        <w:t xml:space="preserve"> SRS, it makes sense to enable reporting of </w:t>
      </w:r>
      <w:r w:rsidR="00634343">
        <w:rPr>
          <w:rFonts w:ascii="Times New Roman" w:hAnsi="Times New Roman" w:cs="Times New Roman"/>
          <w:lang w:val="en-US" w:eastAsia="zh-CN"/>
        </w:rPr>
        <w:t xml:space="preserve">Type 3 PHR for additional SRS on </w:t>
      </w:r>
      <w:proofErr w:type="spellStart"/>
      <w:r w:rsidR="00634343">
        <w:rPr>
          <w:rFonts w:ascii="Times New Roman" w:hAnsi="Times New Roman" w:cs="Times New Roman"/>
          <w:lang w:val="en-US" w:eastAsia="zh-CN"/>
        </w:rPr>
        <w:t>PCell</w:t>
      </w:r>
      <w:proofErr w:type="spellEnd"/>
      <w:r w:rsidR="00634343">
        <w:rPr>
          <w:rFonts w:ascii="Times New Roman" w:hAnsi="Times New Roman" w:cs="Times New Roman"/>
          <w:lang w:val="en-US" w:eastAsia="zh-CN"/>
        </w:rPr>
        <w:t xml:space="preserve"> and </w:t>
      </w:r>
      <w:proofErr w:type="spellStart"/>
      <w:r w:rsidR="00634343">
        <w:rPr>
          <w:rFonts w:ascii="Times New Roman" w:hAnsi="Times New Roman" w:cs="Times New Roman"/>
          <w:lang w:val="en-US" w:eastAsia="zh-CN"/>
        </w:rPr>
        <w:t>SCell</w:t>
      </w:r>
      <w:proofErr w:type="spellEnd"/>
      <w:r w:rsidR="00634343">
        <w:rPr>
          <w:rFonts w:ascii="Times New Roman" w:hAnsi="Times New Roman" w:cs="Times New Roman"/>
          <w:lang w:val="en-US" w:eastAsia="zh-CN"/>
        </w:rPr>
        <w:t xml:space="preserve"> with PUSCH as well.</w:t>
      </w:r>
    </w:p>
    <w:p w14:paraId="097BAE82" w14:textId="74651AC0" w:rsidR="003A3A0E" w:rsidRPr="00634343" w:rsidRDefault="00634343" w:rsidP="00E81A17">
      <w:pPr>
        <w:pStyle w:val="Proposal"/>
        <w:rPr>
          <w:rFonts w:ascii="Times New Roman" w:hAnsi="Times New Roman" w:cs="Times New Roman"/>
          <w:lang w:val="en-US" w:eastAsia="zh-CN"/>
        </w:rPr>
      </w:pPr>
      <w:bookmarkStart w:id="20" w:name="_Toc23769205"/>
      <w:bookmarkStart w:id="21" w:name="_Toc24031827"/>
      <w:bookmarkStart w:id="22" w:name="_Toc24122418"/>
      <w:r w:rsidRPr="00634343">
        <w:rPr>
          <w:lang w:val="en-US" w:eastAsia="zh-CN"/>
        </w:rPr>
        <w:t xml:space="preserve">For </w:t>
      </w:r>
      <w:proofErr w:type="spellStart"/>
      <w:r w:rsidRPr="00634343">
        <w:rPr>
          <w:lang w:val="en-US" w:eastAsia="zh-CN"/>
        </w:rPr>
        <w:t>PCell</w:t>
      </w:r>
      <w:proofErr w:type="spellEnd"/>
      <w:r w:rsidRPr="00634343">
        <w:rPr>
          <w:lang w:val="en-US" w:eastAsia="zh-CN"/>
        </w:rPr>
        <w:t xml:space="preserve"> and </w:t>
      </w:r>
      <w:proofErr w:type="spellStart"/>
      <w:r w:rsidRPr="00634343">
        <w:rPr>
          <w:lang w:val="en-US" w:eastAsia="zh-CN"/>
        </w:rPr>
        <w:t>SCell</w:t>
      </w:r>
      <w:proofErr w:type="spellEnd"/>
      <w:r w:rsidRPr="00634343">
        <w:rPr>
          <w:lang w:val="en-US" w:eastAsia="zh-CN"/>
        </w:rPr>
        <w:t xml:space="preserve"> with PUSCH, support Type 3 PHR reporting for additional SRS. The details are left to RAN2.</w:t>
      </w:r>
      <w:bookmarkEnd w:id="20"/>
      <w:bookmarkEnd w:id="21"/>
      <w:bookmarkEnd w:id="22"/>
    </w:p>
    <w:p w14:paraId="7DD883DF" w14:textId="77777777" w:rsidR="003A3A0E" w:rsidRPr="003A3A0E" w:rsidRDefault="003A3A0E" w:rsidP="003A3A0E">
      <w:pPr>
        <w:rPr>
          <w:rFonts w:ascii="Times New Roman" w:hAnsi="Times New Roman" w:cs="Times New Roman"/>
          <w:lang w:val="en-US" w:eastAsia="zh-CN"/>
        </w:rPr>
      </w:pPr>
      <w:bookmarkStart w:id="23" w:name="_GoBack"/>
      <w:bookmarkEnd w:id="23"/>
    </w:p>
    <w:p w14:paraId="5A9E45F8" w14:textId="629FCE58" w:rsidR="00832BF8" w:rsidRPr="004A2009" w:rsidRDefault="00832BF8" w:rsidP="004A2009">
      <w:pPr>
        <w:pStyle w:val="Heading1"/>
      </w:pPr>
      <w:r w:rsidRPr="004A2009">
        <w:t>Conclusion</w:t>
      </w:r>
    </w:p>
    <w:p w14:paraId="73F2B02C" w14:textId="50FA7B9D" w:rsidR="00A921FB" w:rsidRPr="00F84BF1" w:rsidRDefault="00F02FD4" w:rsidP="00C93937">
      <w:pPr>
        <w:pStyle w:val="BodyText"/>
        <w:spacing w:after="240"/>
        <w:rPr>
          <w:rFonts w:cs="Times New Roman"/>
          <w:b/>
          <w:color w:val="000000"/>
          <w:lang w:val="en-US"/>
        </w:rPr>
      </w:pPr>
      <w:r w:rsidRPr="00F84BF1">
        <w:rPr>
          <w:rFonts w:cs="Times New Roman"/>
          <w:lang w:val="en-US"/>
        </w:rPr>
        <w:t>In this paper, we provide our views on some remaining issues of Rel-16 LTE SRS enhancements.  W</w:t>
      </w:r>
      <w:r w:rsidR="008E731C" w:rsidRPr="00F84BF1">
        <w:rPr>
          <w:rFonts w:cs="Times New Roman"/>
          <w:lang w:val="en-US"/>
        </w:rPr>
        <w:t>e make the following proposals:</w:t>
      </w:r>
    </w:p>
    <w:p w14:paraId="0A8878EC" w14:textId="77777777" w:rsidR="003871FD" w:rsidRPr="003871FD" w:rsidRDefault="000A41D2">
      <w:pPr>
        <w:pStyle w:val="TOC1"/>
        <w:rPr>
          <w:rFonts w:asciiTheme="minorHAnsi" w:eastAsiaTheme="minorEastAsia" w:hAnsiTheme="minorHAnsi" w:cstheme="minorBidi"/>
          <w:b w:val="0"/>
          <w:sz w:val="22"/>
          <w:lang w:eastAsia="sv-SE"/>
        </w:rPr>
      </w:pPr>
      <w:r>
        <w:lastRenderedPageBreak/>
        <w:fldChar w:fldCharType="begin"/>
      </w:r>
      <w:r>
        <w:instrText xml:space="preserve"> TOC \n \p " " \t "Proposal;1" </w:instrText>
      </w:r>
      <w:r>
        <w:fldChar w:fldCharType="separate"/>
      </w:r>
      <w:r w:rsidR="003871FD" w:rsidRPr="00E80602">
        <w:rPr>
          <w:lang w:val="en-GB"/>
        </w:rPr>
        <w:t>Proposal 1</w:t>
      </w:r>
      <w:r w:rsidR="003871FD" w:rsidRPr="003871FD">
        <w:rPr>
          <w:rFonts w:asciiTheme="minorHAnsi" w:eastAsiaTheme="minorEastAsia" w:hAnsiTheme="minorHAnsi" w:cstheme="minorBidi"/>
          <w:b w:val="0"/>
          <w:sz w:val="22"/>
          <w:lang w:eastAsia="sv-SE"/>
        </w:rPr>
        <w:tab/>
      </w:r>
      <w:r w:rsidR="003871FD" w:rsidRPr="00E80602">
        <w:rPr>
          <w:lang w:val="en-GB"/>
        </w:rPr>
        <w:t>When intra-subframe frequency hopping/repetition and intra-subframe antenna switching are concurrently configured, antenna switching should be performed before frequency hopping. i.e. the working assumption at RAN1#97 is rejected.</w:t>
      </w:r>
    </w:p>
    <w:p w14:paraId="30939F3F" w14:textId="77777777" w:rsidR="003871FD" w:rsidRPr="003871FD" w:rsidRDefault="003871FD">
      <w:pPr>
        <w:pStyle w:val="TOC1"/>
        <w:rPr>
          <w:rFonts w:asciiTheme="minorHAnsi" w:eastAsiaTheme="minorEastAsia" w:hAnsiTheme="minorHAnsi" w:cstheme="minorBidi"/>
          <w:b w:val="0"/>
          <w:sz w:val="22"/>
          <w:lang w:eastAsia="sv-SE"/>
        </w:rPr>
      </w:pPr>
      <w:r w:rsidRPr="00E80602">
        <w:t>Proposal 2</w:t>
      </w:r>
      <w:r w:rsidRPr="003871FD">
        <w:rPr>
          <w:rFonts w:asciiTheme="minorHAnsi" w:eastAsiaTheme="minorEastAsia" w:hAnsiTheme="minorHAnsi" w:cstheme="minorBidi"/>
          <w:b w:val="0"/>
          <w:sz w:val="22"/>
          <w:lang w:eastAsia="sv-SE"/>
        </w:rPr>
        <w:tab/>
      </w:r>
      <w:r w:rsidRPr="00E80602">
        <w:t>Do not support sending TPC commands for additional SRS symbols using other DCI formats than 3/3A/3B</w:t>
      </w:r>
    </w:p>
    <w:p w14:paraId="2A50FF7E" w14:textId="77777777" w:rsidR="003871FD" w:rsidRPr="003871FD" w:rsidRDefault="003871FD">
      <w:pPr>
        <w:pStyle w:val="TOC1"/>
        <w:rPr>
          <w:rFonts w:asciiTheme="minorHAnsi" w:eastAsiaTheme="minorEastAsia" w:hAnsiTheme="minorHAnsi" w:cstheme="minorBidi"/>
          <w:b w:val="0"/>
          <w:sz w:val="22"/>
          <w:lang w:eastAsia="sv-SE"/>
        </w:rPr>
      </w:pPr>
      <w:r w:rsidRPr="00E80602">
        <w:rPr>
          <w:rFonts w:cstheme="minorHAnsi"/>
        </w:rPr>
        <w:t>Proposal 3</w:t>
      </w:r>
      <w:r w:rsidRPr="003871FD">
        <w:rPr>
          <w:rFonts w:asciiTheme="minorHAnsi" w:eastAsiaTheme="minorEastAsia" w:hAnsiTheme="minorHAnsi" w:cstheme="minorBidi"/>
          <w:b w:val="0"/>
          <w:sz w:val="22"/>
          <w:lang w:eastAsia="sv-SE"/>
        </w:rPr>
        <w:tab/>
      </w:r>
      <w:r w:rsidRPr="00E80602">
        <w:rPr>
          <w:rFonts w:cstheme="minorHAnsi"/>
        </w:rPr>
        <w:t>For PUSCH-less SCell, the UE can either be configured with legacy PUSCH-less SCell SRS or Rel-16 additional SRS, not both concurrently</w:t>
      </w:r>
    </w:p>
    <w:p w14:paraId="006642D1" w14:textId="77777777" w:rsidR="003871FD" w:rsidRPr="003871FD" w:rsidRDefault="003871FD">
      <w:pPr>
        <w:pStyle w:val="TOC1"/>
        <w:rPr>
          <w:rFonts w:asciiTheme="minorHAnsi" w:eastAsiaTheme="minorEastAsia" w:hAnsiTheme="minorHAnsi" w:cstheme="minorBidi"/>
          <w:b w:val="0"/>
          <w:sz w:val="22"/>
          <w:lang w:eastAsia="sv-SE"/>
        </w:rPr>
      </w:pPr>
      <w:r w:rsidRPr="00E80602">
        <w:t>Proposal 4</w:t>
      </w:r>
      <w:r w:rsidRPr="003871FD">
        <w:rPr>
          <w:rFonts w:asciiTheme="minorHAnsi" w:eastAsiaTheme="minorEastAsia" w:hAnsiTheme="minorHAnsi" w:cstheme="minorBidi"/>
          <w:b w:val="0"/>
          <w:sz w:val="22"/>
          <w:lang w:eastAsia="sv-SE"/>
        </w:rPr>
        <w:tab/>
      </w:r>
      <w:r w:rsidRPr="00E80602">
        <w:t xml:space="preserve">For PUSCH-less SCell, the UE reports either Type 3 PHR for </w:t>
      </w:r>
      <w:r w:rsidRPr="00E80602">
        <w:rPr>
          <w:rFonts w:cstheme="minorHAnsi"/>
        </w:rPr>
        <w:t>Rel-16 additional SRS or Type 3 PHR for legacy PUSCH-less SCell SRS</w:t>
      </w:r>
    </w:p>
    <w:p w14:paraId="6E1E0EAF" w14:textId="77777777" w:rsidR="003871FD" w:rsidRDefault="003871FD">
      <w:pPr>
        <w:pStyle w:val="TOC1"/>
        <w:rPr>
          <w:rFonts w:asciiTheme="minorHAnsi" w:eastAsiaTheme="minorEastAsia" w:hAnsiTheme="minorHAnsi" w:cstheme="minorBidi"/>
          <w:b w:val="0"/>
          <w:sz w:val="22"/>
          <w:lang w:val="sv-SE" w:eastAsia="sv-SE"/>
        </w:rPr>
      </w:pPr>
      <w:r w:rsidRPr="00E80602">
        <w:t>Proposal 5</w:t>
      </w:r>
      <w:r w:rsidRPr="003871FD">
        <w:rPr>
          <w:rFonts w:asciiTheme="minorHAnsi" w:eastAsiaTheme="minorEastAsia" w:hAnsiTheme="minorHAnsi" w:cstheme="minorBidi"/>
          <w:b w:val="0"/>
          <w:sz w:val="22"/>
          <w:lang w:eastAsia="sv-SE"/>
        </w:rPr>
        <w:tab/>
      </w:r>
      <w:r w:rsidRPr="00E80602">
        <w:t>For PCell and SCell with PUSCH, support Type 3 PHR reporting for additional SRS. The details are left to RAN2.</w:t>
      </w:r>
    </w:p>
    <w:p w14:paraId="18389F88" w14:textId="6A48EBBC" w:rsidR="000A41D2" w:rsidRPr="00656A2C" w:rsidRDefault="000A41D2" w:rsidP="00A921FB">
      <w:pPr>
        <w:ind w:left="1695" w:hanging="1695"/>
        <w:jc w:val="both"/>
        <w:rPr>
          <w:rFonts w:ascii="Times New Roman" w:hAnsi="Times New Roman" w:cs="Times New Roman"/>
        </w:rPr>
      </w:pPr>
      <w:r>
        <w:rPr>
          <w:rFonts w:ascii="Times New Roman" w:hAnsi="Times New Roman" w:cs="Times New Roman"/>
        </w:rPr>
        <w:fldChar w:fldCharType="end"/>
      </w:r>
    </w:p>
    <w:sectPr w:rsidR="000A41D2" w:rsidRPr="00656A2C"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681F1" w14:textId="77777777" w:rsidR="00671FC4" w:rsidRDefault="00671FC4">
      <w:r>
        <w:separator/>
      </w:r>
    </w:p>
  </w:endnote>
  <w:endnote w:type="continuationSeparator" w:id="0">
    <w:p w14:paraId="0D4500DD" w14:textId="77777777" w:rsidR="00671FC4" w:rsidRDefault="00671FC4">
      <w:r>
        <w:continuationSeparator/>
      </w:r>
    </w:p>
  </w:endnote>
  <w:endnote w:type="continuationNotice" w:id="1">
    <w:p w14:paraId="2255AAC9" w14:textId="77777777" w:rsidR="00671FC4" w:rsidRDefault="00671F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5141A" w:rsidRDefault="004514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0C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C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0364F" w14:textId="77777777" w:rsidR="00671FC4" w:rsidRDefault="00671FC4">
      <w:r>
        <w:separator/>
      </w:r>
    </w:p>
  </w:footnote>
  <w:footnote w:type="continuationSeparator" w:id="0">
    <w:p w14:paraId="66F72DF8" w14:textId="77777777" w:rsidR="00671FC4" w:rsidRDefault="00671FC4">
      <w:r>
        <w:continuationSeparator/>
      </w:r>
    </w:p>
  </w:footnote>
  <w:footnote w:type="continuationNotice" w:id="1">
    <w:p w14:paraId="554912BF" w14:textId="77777777" w:rsidR="00671FC4" w:rsidRDefault="00671F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5054B"/>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F46126"/>
    <w:multiLevelType w:val="hybridMultilevel"/>
    <w:tmpl w:val="9E1AD0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BD40231"/>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8101F"/>
    <w:multiLevelType w:val="hybridMultilevel"/>
    <w:tmpl w:val="136451A8"/>
    <w:lvl w:ilvl="0" w:tplc="87E497DA">
      <w:start w:val="1"/>
      <w:numFmt w:val="lowerLetter"/>
      <w:lvlText w:val="%1)"/>
      <w:lvlJc w:val="left"/>
      <w:pPr>
        <w:ind w:left="720" w:hanging="360"/>
      </w:pPr>
      <w:rPr>
        <w:rFonts w:asciiTheme="minorHAnsi" w:hAnsiTheme="minorHAnsi" w:cstheme="minorBid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EC041C44"/>
    <w:lvl w:ilvl="0" w:tplc="B912885A">
      <w:start w:val="1"/>
      <w:numFmt w:val="decimal"/>
      <w:pStyle w:val="Proposal"/>
      <w:lvlText w:val="Proposal %1"/>
      <w:lvlJc w:val="left"/>
      <w:pPr>
        <w:tabs>
          <w:tab w:val="num" w:pos="2204"/>
        </w:tabs>
        <w:ind w:left="2204" w:hanging="1304"/>
      </w:pPr>
      <w:rPr>
        <w:rFonts w:hint="default"/>
        <w:sz w:val="22"/>
        <w:szCs w:val="2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7A4E16"/>
    <w:multiLevelType w:val="hybridMultilevel"/>
    <w:tmpl w:val="92B6B66C"/>
    <w:lvl w:ilvl="0" w:tplc="8C0C0978">
      <w:start w:val="6"/>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39441A"/>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5"/>
  </w:num>
  <w:num w:numId="3">
    <w:abstractNumId w:val="11"/>
  </w:num>
  <w:num w:numId="4">
    <w:abstractNumId w:val="12"/>
  </w:num>
  <w:num w:numId="5">
    <w:abstractNumId w:val="7"/>
  </w:num>
  <w:num w:numId="6">
    <w:abstractNumId w:val="13"/>
  </w:num>
  <w:num w:numId="7">
    <w:abstractNumId w:val="19"/>
  </w:num>
  <w:num w:numId="8">
    <w:abstractNumId w:val="8"/>
  </w:num>
  <w:num w:numId="9">
    <w:abstractNumId w:val="18"/>
  </w:num>
  <w:num w:numId="10">
    <w:abstractNumId w:val="10"/>
  </w:num>
  <w:num w:numId="11">
    <w:abstractNumId w:val="21"/>
  </w:num>
  <w:num w:numId="12">
    <w:abstractNumId w:val="1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4"/>
  </w:num>
  <w:num w:numId="15">
    <w:abstractNumId w:val="26"/>
  </w:num>
  <w:num w:numId="16">
    <w:abstractNumId w:val="2"/>
  </w:num>
  <w:num w:numId="17">
    <w:abstractNumId w:val="24"/>
  </w:num>
  <w:num w:numId="18">
    <w:abstractNumId w:val="9"/>
  </w:num>
  <w:num w:numId="19">
    <w:abstractNumId w:val="23"/>
  </w:num>
  <w:num w:numId="20">
    <w:abstractNumId w:val="1"/>
  </w:num>
  <w:num w:numId="21">
    <w:abstractNumId w:val="1"/>
  </w:num>
  <w:num w:numId="22">
    <w:abstractNumId w:val="1"/>
  </w:num>
  <w:num w:numId="23">
    <w:abstractNumId w:val="1"/>
  </w:num>
  <w:num w:numId="24">
    <w:abstractNumId w:val="5"/>
  </w:num>
  <w:num w:numId="25">
    <w:abstractNumId w:val="22"/>
  </w:num>
  <w:num w:numId="26">
    <w:abstractNumId w:val="20"/>
  </w:num>
  <w:num w:numId="27">
    <w:abstractNumId w:val="3"/>
  </w:num>
  <w:num w:numId="28">
    <w:abstractNumId w:val="25"/>
  </w:num>
  <w:num w:numId="29">
    <w:abstractNumId w:val="17"/>
  </w:num>
  <w:num w:numId="30">
    <w:abstractNumId w:val="6"/>
  </w:num>
  <w:num w:numId="31">
    <w:abstractNumId w:val="4"/>
  </w:num>
  <w:num w:numId="3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5445"/>
    <w:rsid w:val="00006446"/>
    <w:rsid w:val="00006512"/>
    <w:rsid w:val="00006896"/>
    <w:rsid w:val="00007CDC"/>
    <w:rsid w:val="00011B28"/>
    <w:rsid w:val="000124DF"/>
    <w:rsid w:val="00012B1E"/>
    <w:rsid w:val="00012CDE"/>
    <w:rsid w:val="000142DF"/>
    <w:rsid w:val="000144D0"/>
    <w:rsid w:val="00015D15"/>
    <w:rsid w:val="00016613"/>
    <w:rsid w:val="00016F17"/>
    <w:rsid w:val="00017ECF"/>
    <w:rsid w:val="00020273"/>
    <w:rsid w:val="000211CC"/>
    <w:rsid w:val="00021F7C"/>
    <w:rsid w:val="00022AD0"/>
    <w:rsid w:val="00024829"/>
    <w:rsid w:val="0002564D"/>
    <w:rsid w:val="00025ECA"/>
    <w:rsid w:val="000260F0"/>
    <w:rsid w:val="00026AE4"/>
    <w:rsid w:val="00030B30"/>
    <w:rsid w:val="00030D81"/>
    <w:rsid w:val="00031541"/>
    <w:rsid w:val="00031823"/>
    <w:rsid w:val="000325B8"/>
    <w:rsid w:val="00034C15"/>
    <w:rsid w:val="00035802"/>
    <w:rsid w:val="00036BA1"/>
    <w:rsid w:val="00040596"/>
    <w:rsid w:val="00042009"/>
    <w:rsid w:val="000422E2"/>
    <w:rsid w:val="00042320"/>
    <w:rsid w:val="00042754"/>
    <w:rsid w:val="00042F22"/>
    <w:rsid w:val="000442C4"/>
    <w:rsid w:val="000444EF"/>
    <w:rsid w:val="00045AA3"/>
    <w:rsid w:val="00047ADA"/>
    <w:rsid w:val="00052A07"/>
    <w:rsid w:val="0005316C"/>
    <w:rsid w:val="000534E3"/>
    <w:rsid w:val="00054A0B"/>
    <w:rsid w:val="0005606A"/>
    <w:rsid w:val="0005607A"/>
    <w:rsid w:val="0005682F"/>
    <w:rsid w:val="00057104"/>
    <w:rsid w:val="00057117"/>
    <w:rsid w:val="00057959"/>
    <w:rsid w:val="00060465"/>
    <w:rsid w:val="00060DB1"/>
    <w:rsid w:val="0006128C"/>
    <w:rsid w:val="000616E7"/>
    <w:rsid w:val="0006487E"/>
    <w:rsid w:val="000658AB"/>
    <w:rsid w:val="00065C9F"/>
    <w:rsid w:val="00065E1A"/>
    <w:rsid w:val="00065F67"/>
    <w:rsid w:val="00066F7E"/>
    <w:rsid w:val="00067139"/>
    <w:rsid w:val="00067BBE"/>
    <w:rsid w:val="0007089E"/>
    <w:rsid w:val="00071EA6"/>
    <w:rsid w:val="00072530"/>
    <w:rsid w:val="00072545"/>
    <w:rsid w:val="000741A9"/>
    <w:rsid w:val="00074597"/>
    <w:rsid w:val="00074BEA"/>
    <w:rsid w:val="00077E5F"/>
    <w:rsid w:val="0008036A"/>
    <w:rsid w:val="00081AE6"/>
    <w:rsid w:val="000820F0"/>
    <w:rsid w:val="00083C5B"/>
    <w:rsid w:val="00085191"/>
    <w:rsid w:val="000855EB"/>
    <w:rsid w:val="00085B52"/>
    <w:rsid w:val="000860BE"/>
    <w:rsid w:val="000866F2"/>
    <w:rsid w:val="00086DDC"/>
    <w:rsid w:val="0009009F"/>
    <w:rsid w:val="00091557"/>
    <w:rsid w:val="000924C1"/>
    <w:rsid w:val="000924F0"/>
    <w:rsid w:val="00092ED8"/>
    <w:rsid w:val="00093316"/>
    <w:rsid w:val="00093474"/>
    <w:rsid w:val="0009510F"/>
    <w:rsid w:val="000A1B7B"/>
    <w:rsid w:val="000A2B85"/>
    <w:rsid w:val="000A41D2"/>
    <w:rsid w:val="000A4FBB"/>
    <w:rsid w:val="000A56F2"/>
    <w:rsid w:val="000A67CF"/>
    <w:rsid w:val="000A6EA4"/>
    <w:rsid w:val="000B2139"/>
    <w:rsid w:val="000B2719"/>
    <w:rsid w:val="000B3A8F"/>
    <w:rsid w:val="000B4AB9"/>
    <w:rsid w:val="000B58C3"/>
    <w:rsid w:val="000B61E9"/>
    <w:rsid w:val="000B6D5F"/>
    <w:rsid w:val="000B721C"/>
    <w:rsid w:val="000B79DE"/>
    <w:rsid w:val="000C06D8"/>
    <w:rsid w:val="000C165A"/>
    <w:rsid w:val="000C181A"/>
    <w:rsid w:val="000C1AEB"/>
    <w:rsid w:val="000C25AD"/>
    <w:rsid w:val="000C2E19"/>
    <w:rsid w:val="000C3D4E"/>
    <w:rsid w:val="000C4C24"/>
    <w:rsid w:val="000C741D"/>
    <w:rsid w:val="000D0D07"/>
    <w:rsid w:val="000D1880"/>
    <w:rsid w:val="000D4797"/>
    <w:rsid w:val="000D7AF1"/>
    <w:rsid w:val="000E0527"/>
    <w:rsid w:val="000E1E92"/>
    <w:rsid w:val="000E678B"/>
    <w:rsid w:val="000E6D01"/>
    <w:rsid w:val="000E77B8"/>
    <w:rsid w:val="000F06D6"/>
    <w:rsid w:val="000F07BC"/>
    <w:rsid w:val="000F0EB1"/>
    <w:rsid w:val="000F1106"/>
    <w:rsid w:val="000F32DB"/>
    <w:rsid w:val="000F3BE9"/>
    <w:rsid w:val="000F3F6C"/>
    <w:rsid w:val="000F47C6"/>
    <w:rsid w:val="000F54D6"/>
    <w:rsid w:val="000F590C"/>
    <w:rsid w:val="000F600C"/>
    <w:rsid w:val="000F6B24"/>
    <w:rsid w:val="000F6D00"/>
    <w:rsid w:val="000F6DF3"/>
    <w:rsid w:val="001005FF"/>
    <w:rsid w:val="00100FFE"/>
    <w:rsid w:val="001034EE"/>
    <w:rsid w:val="001043C5"/>
    <w:rsid w:val="0010488A"/>
    <w:rsid w:val="00104F00"/>
    <w:rsid w:val="001062FB"/>
    <w:rsid w:val="001063E6"/>
    <w:rsid w:val="001068D8"/>
    <w:rsid w:val="00110ECA"/>
    <w:rsid w:val="00111134"/>
    <w:rsid w:val="001118A8"/>
    <w:rsid w:val="00113CF4"/>
    <w:rsid w:val="00114653"/>
    <w:rsid w:val="001153EA"/>
    <w:rsid w:val="00115643"/>
    <w:rsid w:val="00116765"/>
    <w:rsid w:val="001170AB"/>
    <w:rsid w:val="001219F5"/>
    <w:rsid w:val="00121A20"/>
    <w:rsid w:val="0012377F"/>
    <w:rsid w:val="00123C49"/>
    <w:rsid w:val="00124314"/>
    <w:rsid w:val="00126B27"/>
    <w:rsid w:val="00126B4A"/>
    <w:rsid w:val="00126C69"/>
    <w:rsid w:val="00127A16"/>
    <w:rsid w:val="00130FE5"/>
    <w:rsid w:val="00132FD0"/>
    <w:rsid w:val="001343DB"/>
    <w:rsid w:val="001344C0"/>
    <w:rsid w:val="0013457C"/>
    <w:rsid w:val="001346FA"/>
    <w:rsid w:val="001349EE"/>
    <w:rsid w:val="00135252"/>
    <w:rsid w:val="00137132"/>
    <w:rsid w:val="00137AB5"/>
    <w:rsid w:val="00137F0B"/>
    <w:rsid w:val="00140153"/>
    <w:rsid w:val="00140E8D"/>
    <w:rsid w:val="00141769"/>
    <w:rsid w:val="001425D4"/>
    <w:rsid w:val="00142E84"/>
    <w:rsid w:val="00145654"/>
    <w:rsid w:val="001460E6"/>
    <w:rsid w:val="001503BE"/>
    <w:rsid w:val="00151E23"/>
    <w:rsid w:val="001526E0"/>
    <w:rsid w:val="0015373E"/>
    <w:rsid w:val="00154707"/>
    <w:rsid w:val="001551B5"/>
    <w:rsid w:val="00155D3E"/>
    <w:rsid w:val="001563D6"/>
    <w:rsid w:val="00156660"/>
    <w:rsid w:val="00162F87"/>
    <w:rsid w:val="001659C1"/>
    <w:rsid w:val="0017041B"/>
    <w:rsid w:val="001739BC"/>
    <w:rsid w:val="00173A8E"/>
    <w:rsid w:val="001742B8"/>
    <w:rsid w:val="001742CE"/>
    <w:rsid w:val="00175701"/>
    <w:rsid w:val="00175F81"/>
    <w:rsid w:val="0017710C"/>
    <w:rsid w:val="001771C9"/>
    <w:rsid w:val="00177B76"/>
    <w:rsid w:val="00180292"/>
    <w:rsid w:val="0018143F"/>
    <w:rsid w:val="00181616"/>
    <w:rsid w:val="00184B0A"/>
    <w:rsid w:val="00185587"/>
    <w:rsid w:val="00185725"/>
    <w:rsid w:val="00190AC1"/>
    <w:rsid w:val="0019341A"/>
    <w:rsid w:val="00195BA0"/>
    <w:rsid w:val="0019704D"/>
    <w:rsid w:val="00197DF9"/>
    <w:rsid w:val="001A1987"/>
    <w:rsid w:val="001A2564"/>
    <w:rsid w:val="001A43E7"/>
    <w:rsid w:val="001A4C7D"/>
    <w:rsid w:val="001A5E55"/>
    <w:rsid w:val="001A6173"/>
    <w:rsid w:val="001A6CBA"/>
    <w:rsid w:val="001B03F3"/>
    <w:rsid w:val="001B0D97"/>
    <w:rsid w:val="001B143A"/>
    <w:rsid w:val="001B4AE0"/>
    <w:rsid w:val="001B5A5D"/>
    <w:rsid w:val="001B63AB"/>
    <w:rsid w:val="001B6819"/>
    <w:rsid w:val="001C1CE5"/>
    <w:rsid w:val="001C2545"/>
    <w:rsid w:val="001C3D2A"/>
    <w:rsid w:val="001C3D47"/>
    <w:rsid w:val="001C3FC0"/>
    <w:rsid w:val="001C4EF5"/>
    <w:rsid w:val="001C6D57"/>
    <w:rsid w:val="001D4B47"/>
    <w:rsid w:val="001D51BA"/>
    <w:rsid w:val="001D56AE"/>
    <w:rsid w:val="001D6342"/>
    <w:rsid w:val="001D6D53"/>
    <w:rsid w:val="001D7960"/>
    <w:rsid w:val="001E0DEF"/>
    <w:rsid w:val="001E2560"/>
    <w:rsid w:val="001E46FB"/>
    <w:rsid w:val="001E5176"/>
    <w:rsid w:val="001E58E2"/>
    <w:rsid w:val="001E5AF2"/>
    <w:rsid w:val="001E5B1B"/>
    <w:rsid w:val="001E6D1B"/>
    <w:rsid w:val="001E7AED"/>
    <w:rsid w:val="001F0538"/>
    <w:rsid w:val="001F2DB2"/>
    <w:rsid w:val="001F2DF8"/>
    <w:rsid w:val="001F36BE"/>
    <w:rsid w:val="001F3916"/>
    <w:rsid w:val="001F513C"/>
    <w:rsid w:val="001F54C5"/>
    <w:rsid w:val="001F5D72"/>
    <w:rsid w:val="001F662C"/>
    <w:rsid w:val="001F7074"/>
    <w:rsid w:val="00200490"/>
    <w:rsid w:val="00201F3A"/>
    <w:rsid w:val="002025DA"/>
    <w:rsid w:val="00203085"/>
    <w:rsid w:val="00203F96"/>
    <w:rsid w:val="00206639"/>
    <w:rsid w:val="002069B2"/>
    <w:rsid w:val="00206AD5"/>
    <w:rsid w:val="0020797E"/>
    <w:rsid w:val="00207FA3"/>
    <w:rsid w:val="00210B90"/>
    <w:rsid w:val="00210FBE"/>
    <w:rsid w:val="002116C8"/>
    <w:rsid w:val="00212B59"/>
    <w:rsid w:val="00214439"/>
    <w:rsid w:val="00214B70"/>
    <w:rsid w:val="00214DA8"/>
    <w:rsid w:val="00215423"/>
    <w:rsid w:val="002158FA"/>
    <w:rsid w:val="0021627C"/>
    <w:rsid w:val="00216FE0"/>
    <w:rsid w:val="002179E1"/>
    <w:rsid w:val="00220600"/>
    <w:rsid w:val="00220DD8"/>
    <w:rsid w:val="002224DB"/>
    <w:rsid w:val="00223D8D"/>
    <w:rsid w:val="00223FCB"/>
    <w:rsid w:val="002242CB"/>
    <w:rsid w:val="00224B51"/>
    <w:rsid w:val="00224DD7"/>
    <w:rsid w:val="002252C3"/>
    <w:rsid w:val="00225C54"/>
    <w:rsid w:val="00226819"/>
    <w:rsid w:val="00230765"/>
    <w:rsid w:val="002319E4"/>
    <w:rsid w:val="00233A9F"/>
    <w:rsid w:val="00233EF0"/>
    <w:rsid w:val="00234CA0"/>
    <w:rsid w:val="00235632"/>
    <w:rsid w:val="00235872"/>
    <w:rsid w:val="00240462"/>
    <w:rsid w:val="0024133E"/>
    <w:rsid w:val="00241559"/>
    <w:rsid w:val="002417A5"/>
    <w:rsid w:val="00241D26"/>
    <w:rsid w:val="002435B3"/>
    <w:rsid w:val="002451ED"/>
    <w:rsid w:val="002458EB"/>
    <w:rsid w:val="002465C9"/>
    <w:rsid w:val="002476C0"/>
    <w:rsid w:val="00247E38"/>
    <w:rsid w:val="002500C8"/>
    <w:rsid w:val="00250B97"/>
    <w:rsid w:val="00251916"/>
    <w:rsid w:val="00252CC7"/>
    <w:rsid w:val="00253AAD"/>
    <w:rsid w:val="00255334"/>
    <w:rsid w:val="00257543"/>
    <w:rsid w:val="00260C61"/>
    <w:rsid w:val="0026114F"/>
    <w:rsid w:val="002611E7"/>
    <w:rsid w:val="002617E7"/>
    <w:rsid w:val="00264228"/>
    <w:rsid w:val="00264334"/>
    <w:rsid w:val="0026473E"/>
    <w:rsid w:val="00264CBF"/>
    <w:rsid w:val="002650C6"/>
    <w:rsid w:val="00265BA8"/>
    <w:rsid w:val="00266214"/>
    <w:rsid w:val="0026784B"/>
    <w:rsid w:val="00267C83"/>
    <w:rsid w:val="0027144F"/>
    <w:rsid w:val="00271813"/>
    <w:rsid w:val="00271F3A"/>
    <w:rsid w:val="00273278"/>
    <w:rsid w:val="002737F4"/>
    <w:rsid w:val="00275DAB"/>
    <w:rsid w:val="00275EEF"/>
    <w:rsid w:val="00277CB7"/>
    <w:rsid w:val="00277E83"/>
    <w:rsid w:val="002805F5"/>
    <w:rsid w:val="00280751"/>
    <w:rsid w:val="002807C0"/>
    <w:rsid w:val="00281F64"/>
    <w:rsid w:val="0028280A"/>
    <w:rsid w:val="00283BCB"/>
    <w:rsid w:val="00286ACD"/>
    <w:rsid w:val="00287838"/>
    <w:rsid w:val="002907B5"/>
    <w:rsid w:val="0029224C"/>
    <w:rsid w:val="00292EB7"/>
    <w:rsid w:val="00293AB5"/>
    <w:rsid w:val="002955E1"/>
    <w:rsid w:val="00295FC8"/>
    <w:rsid w:val="00296227"/>
    <w:rsid w:val="00296E45"/>
    <w:rsid w:val="00296F44"/>
    <w:rsid w:val="00297361"/>
    <w:rsid w:val="0029777D"/>
    <w:rsid w:val="002A055E"/>
    <w:rsid w:val="002A145D"/>
    <w:rsid w:val="002A1D4E"/>
    <w:rsid w:val="002A2869"/>
    <w:rsid w:val="002A4CAD"/>
    <w:rsid w:val="002A4F9F"/>
    <w:rsid w:val="002A73D4"/>
    <w:rsid w:val="002A7EB0"/>
    <w:rsid w:val="002B0616"/>
    <w:rsid w:val="002B1994"/>
    <w:rsid w:val="002B1A1F"/>
    <w:rsid w:val="002B1EFF"/>
    <w:rsid w:val="002B24D6"/>
    <w:rsid w:val="002B6176"/>
    <w:rsid w:val="002C0280"/>
    <w:rsid w:val="002C0B86"/>
    <w:rsid w:val="002C1610"/>
    <w:rsid w:val="002C41E6"/>
    <w:rsid w:val="002C4CEA"/>
    <w:rsid w:val="002D071A"/>
    <w:rsid w:val="002D1163"/>
    <w:rsid w:val="002D34B2"/>
    <w:rsid w:val="002D3AFD"/>
    <w:rsid w:val="002D43C7"/>
    <w:rsid w:val="002D4695"/>
    <w:rsid w:val="002D5A9A"/>
    <w:rsid w:val="002D6126"/>
    <w:rsid w:val="002D7637"/>
    <w:rsid w:val="002E093B"/>
    <w:rsid w:val="002E17F2"/>
    <w:rsid w:val="002E5668"/>
    <w:rsid w:val="002E5B7A"/>
    <w:rsid w:val="002E6401"/>
    <w:rsid w:val="002E72A7"/>
    <w:rsid w:val="002E7CAE"/>
    <w:rsid w:val="002F0C55"/>
    <w:rsid w:val="002F1E1F"/>
    <w:rsid w:val="002F2771"/>
    <w:rsid w:val="002F2FE8"/>
    <w:rsid w:val="002F37A9"/>
    <w:rsid w:val="002F3DB9"/>
    <w:rsid w:val="002F6288"/>
    <w:rsid w:val="00301B19"/>
    <w:rsid w:val="00301CE6"/>
    <w:rsid w:val="0030256B"/>
    <w:rsid w:val="0030501F"/>
    <w:rsid w:val="00305619"/>
    <w:rsid w:val="00305D4D"/>
    <w:rsid w:val="00307BA1"/>
    <w:rsid w:val="003108CC"/>
    <w:rsid w:val="00310DE0"/>
    <w:rsid w:val="00310FA5"/>
    <w:rsid w:val="00311702"/>
    <w:rsid w:val="00311E82"/>
    <w:rsid w:val="00312E33"/>
    <w:rsid w:val="00313784"/>
    <w:rsid w:val="00313B9E"/>
    <w:rsid w:val="00313FD6"/>
    <w:rsid w:val="003143BD"/>
    <w:rsid w:val="003144ED"/>
    <w:rsid w:val="00315B12"/>
    <w:rsid w:val="00315FA2"/>
    <w:rsid w:val="003203ED"/>
    <w:rsid w:val="003212B8"/>
    <w:rsid w:val="00321A94"/>
    <w:rsid w:val="00322C9F"/>
    <w:rsid w:val="00322F83"/>
    <w:rsid w:val="00324D23"/>
    <w:rsid w:val="003265BF"/>
    <w:rsid w:val="0032713F"/>
    <w:rsid w:val="00327997"/>
    <w:rsid w:val="00331751"/>
    <w:rsid w:val="00331846"/>
    <w:rsid w:val="00331B7B"/>
    <w:rsid w:val="00334579"/>
    <w:rsid w:val="00335858"/>
    <w:rsid w:val="00336014"/>
    <w:rsid w:val="00336BDA"/>
    <w:rsid w:val="00341900"/>
    <w:rsid w:val="00341FEB"/>
    <w:rsid w:val="00342BD7"/>
    <w:rsid w:val="00343B5B"/>
    <w:rsid w:val="0034629A"/>
    <w:rsid w:val="00346DB5"/>
    <w:rsid w:val="00346E10"/>
    <w:rsid w:val="00347233"/>
    <w:rsid w:val="003474E4"/>
    <w:rsid w:val="003477B1"/>
    <w:rsid w:val="00353DB3"/>
    <w:rsid w:val="00354D54"/>
    <w:rsid w:val="00356A14"/>
    <w:rsid w:val="00356AB8"/>
    <w:rsid w:val="00357380"/>
    <w:rsid w:val="003602D9"/>
    <w:rsid w:val="00360459"/>
    <w:rsid w:val="003604CE"/>
    <w:rsid w:val="0036056F"/>
    <w:rsid w:val="00360A9B"/>
    <w:rsid w:val="00362946"/>
    <w:rsid w:val="00363D82"/>
    <w:rsid w:val="00364E64"/>
    <w:rsid w:val="00370728"/>
    <w:rsid w:val="00370DC6"/>
    <w:rsid w:val="00370E47"/>
    <w:rsid w:val="003713A5"/>
    <w:rsid w:val="003715C0"/>
    <w:rsid w:val="003742AC"/>
    <w:rsid w:val="00374ADB"/>
    <w:rsid w:val="0037606D"/>
    <w:rsid w:val="003773A8"/>
    <w:rsid w:val="003773D1"/>
    <w:rsid w:val="00377CE1"/>
    <w:rsid w:val="003802D7"/>
    <w:rsid w:val="00380BA4"/>
    <w:rsid w:val="00382B94"/>
    <w:rsid w:val="00383921"/>
    <w:rsid w:val="00385BF0"/>
    <w:rsid w:val="00385FFE"/>
    <w:rsid w:val="003860C4"/>
    <w:rsid w:val="00386896"/>
    <w:rsid w:val="00386FE5"/>
    <w:rsid w:val="003871FD"/>
    <w:rsid w:val="003904DB"/>
    <w:rsid w:val="0039116A"/>
    <w:rsid w:val="003929FC"/>
    <w:rsid w:val="003939FF"/>
    <w:rsid w:val="003941EA"/>
    <w:rsid w:val="003947C2"/>
    <w:rsid w:val="00397D61"/>
    <w:rsid w:val="00397E79"/>
    <w:rsid w:val="003A0E41"/>
    <w:rsid w:val="003A1D63"/>
    <w:rsid w:val="003A2223"/>
    <w:rsid w:val="003A246A"/>
    <w:rsid w:val="003A26C7"/>
    <w:rsid w:val="003A2A0F"/>
    <w:rsid w:val="003A3A0E"/>
    <w:rsid w:val="003A45A1"/>
    <w:rsid w:val="003A4A33"/>
    <w:rsid w:val="003A5B0A"/>
    <w:rsid w:val="003A6BAC"/>
    <w:rsid w:val="003A6BB3"/>
    <w:rsid w:val="003A7EF3"/>
    <w:rsid w:val="003B159C"/>
    <w:rsid w:val="003B2549"/>
    <w:rsid w:val="003B369F"/>
    <w:rsid w:val="003B36A3"/>
    <w:rsid w:val="003B3B1E"/>
    <w:rsid w:val="003B664A"/>
    <w:rsid w:val="003B7FE5"/>
    <w:rsid w:val="003C11C8"/>
    <w:rsid w:val="003C2702"/>
    <w:rsid w:val="003C2945"/>
    <w:rsid w:val="003C3069"/>
    <w:rsid w:val="003C4F2A"/>
    <w:rsid w:val="003C5F70"/>
    <w:rsid w:val="003C7806"/>
    <w:rsid w:val="003D02B1"/>
    <w:rsid w:val="003D064E"/>
    <w:rsid w:val="003D109F"/>
    <w:rsid w:val="003D2031"/>
    <w:rsid w:val="003D2275"/>
    <w:rsid w:val="003D2478"/>
    <w:rsid w:val="003D3231"/>
    <w:rsid w:val="003D3C45"/>
    <w:rsid w:val="003D3E76"/>
    <w:rsid w:val="003D4098"/>
    <w:rsid w:val="003D5B1F"/>
    <w:rsid w:val="003E15FA"/>
    <w:rsid w:val="003E2097"/>
    <w:rsid w:val="003E219E"/>
    <w:rsid w:val="003E25F0"/>
    <w:rsid w:val="003E2BD3"/>
    <w:rsid w:val="003E31B4"/>
    <w:rsid w:val="003E324E"/>
    <w:rsid w:val="003E55E4"/>
    <w:rsid w:val="003E74E3"/>
    <w:rsid w:val="003E7670"/>
    <w:rsid w:val="003F025C"/>
    <w:rsid w:val="003F05C7"/>
    <w:rsid w:val="003F10D7"/>
    <w:rsid w:val="003F1C23"/>
    <w:rsid w:val="003F1FD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9D1"/>
    <w:rsid w:val="00405B7A"/>
    <w:rsid w:val="00405CA5"/>
    <w:rsid w:val="00407CD3"/>
    <w:rsid w:val="00407D1F"/>
    <w:rsid w:val="00407D3E"/>
    <w:rsid w:val="00410134"/>
    <w:rsid w:val="00410B72"/>
    <w:rsid w:val="00410F18"/>
    <w:rsid w:val="0041121C"/>
    <w:rsid w:val="0041263E"/>
    <w:rsid w:val="00413A23"/>
    <w:rsid w:val="00413AAC"/>
    <w:rsid w:val="00413E92"/>
    <w:rsid w:val="00415649"/>
    <w:rsid w:val="00421105"/>
    <w:rsid w:val="00421442"/>
    <w:rsid w:val="004237F6"/>
    <w:rsid w:val="004242F4"/>
    <w:rsid w:val="00425205"/>
    <w:rsid w:val="00427248"/>
    <w:rsid w:val="004275C9"/>
    <w:rsid w:val="00432153"/>
    <w:rsid w:val="004329F3"/>
    <w:rsid w:val="00433D67"/>
    <w:rsid w:val="004347CC"/>
    <w:rsid w:val="0043620E"/>
    <w:rsid w:val="00437447"/>
    <w:rsid w:val="00441782"/>
    <w:rsid w:val="00441A92"/>
    <w:rsid w:val="00443432"/>
    <w:rsid w:val="00444F56"/>
    <w:rsid w:val="00446488"/>
    <w:rsid w:val="00447DE1"/>
    <w:rsid w:val="00450B45"/>
    <w:rsid w:val="0045141A"/>
    <w:rsid w:val="004517AA"/>
    <w:rsid w:val="00452CAC"/>
    <w:rsid w:val="0045362A"/>
    <w:rsid w:val="00453646"/>
    <w:rsid w:val="00453967"/>
    <w:rsid w:val="004559F0"/>
    <w:rsid w:val="004568D3"/>
    <w:rsid w:val="00457565"/>
    <w:rsid w:val="00457B71"/>
    <w:rsid w:val="00460ADE"/>
    <w:rsid w:val="004654D0"/>
    <w:rsid w:val="00465ABC"/>
    <w:rsid w:val="004663A6"/>
    <w:rsid w:val="004669E2"/>
    <w:rsid w:val="00470C31"/>
    <w:rsid w:val="0047299D"/>
    <w:rsid w:val="00473439"/>
    <w:rsid w:val="004734D0"/>
    <w:rsid w:val="004742A3"/>
    <w:rsid w:val="0047556B"/>
    <w:rsid w:val="00475DD4"/>
    <w:rsid w:val="00476C25"/>
    <w:rsid w:val="00477768"/>
    <w:rsid w:val="004778D1"/>
    <w:rsid w:val="00477AF2"/>
    <w:rsid w:val="00477B73"/>
    <w:rsid w:val="00480FC0"/>
    <w:rsid w:val="00485FFC"/>
    <w:rsid w:val="00490A9C"/>
    <w:rsid w:val="00492BC5"/>
    <w:rsid w:val="00493116"/>
    <w:rsid w:val="004932D8"/>
    <w:rsid w:val="00494846"/>
    <w:rsid w:val="004960A3"/>
    <w:rsid w:val="004964F1"/>
    <w:rsid w:val="00496F74"/>
    <w:rsid w:val="004A16BC"/>
    <w:rsid w:val="004A2009"/>
    <w:rsid w:val="004A2599"/>
    <w:rsid w:val="004A2B94"/>
    <w:rsid w:val="004A3422"/>
    <w:rsid w:val="004A347A"/>
    <w:rsid w:val="004A5B39"/>
    <w:rsid w:val="004A60AA"/>
    <w:rsid w:val="004A7067"/>
    <w:rsid w:val="004B306B"/>
    <w:rsid w:val="004B4A3A"/>
    <w:rsid w:val="004B6FF2"/>
    <w:rsid w:val="004B7C0C"/>
    <w:rsid w:val="004C0DEB"/>
    <w:rsid w:val="004C1522"/>
    <w:rsid w:val="004C324D"/>
    <w:rsid w:val="004C36AD"/>
    <w:rsid w:val="004C3898"/>
    <w:rsid w:val="004C4CEA"/>
    <w:rsid w:val="004C56DF"/>
    <w:rsid w:val="004D0188"/>
    <w:rsid w:val="004D022B"/>
    <w:rsid w:val="004D1DBD"/>
    <w:rsid w:val="004D36B1"/>
    <w:rsid w:val="004D4086"/>
    <w:rsid w:val="004D5974"/>
    <w:rsid w:val="004D59EF"/>
    <w:rsid w:val="004D60BD"/>
    <w:rsid w:val="004D7EBD"/>
    <w:rsid w:val="004E0476"/>
    <w:rsid w:val="004E246C"/>
    <w:rsid w:val="004E2680"/>
    <w:rsid w:val="004E28F9"/>
    <w:rsid w:val="004E2DBD"/>
    <w:rsid w:val="004E462E"/>
    <w:rsid w:val="004E4DE6"/>
    <w:rsid w:val="004E56DC"/>
    <w:rsid w:val="004E6A85"/>
    <w:rsid w:val="004E76F4"/>
    <w:rsid w:val="004F032D"/>
    <w:rsid w:val="004F0B4E"/>
    <w:rsid w:val="004F0B6C"/>
    <w:rsid w:val="004F0CC7"/>
    <w:rsid w:val="004F1CA8"/>
    <w:rsid w:val="004F2078"/>
    <w:rsid w:val="004F368A"/>
    <w:rsid w:val="004F4DA3"/>
    <w:rsid w:val="004F53FD"/>
    <w:rsid w:val="004F6CB9"/>
    <w:rsid w:val="005013A1"/>
    <w:rsid w:val="00501C33"/>
    <w:rsid w:val="005023AB"/>
    <w:rsid w:val="0050591F"/>
    <w:rsid w:val="00506557"/>
    <w:rsid w:val="0050677A"/>
    <w:rsid w:val="00506B06"/>
    <w:rsid w:val="005108D8"/>
    <w:rsid w:val="00511236"/>
    <w:rsid w:val="005116F9"/>
    <w:rsid w:val="00513646"/>
    <w:rsid w:val="005153A7"/>
    <w:rsid w:val="00517FA4"/>
    <w:rsid w:val="005219CF"/>
    <w:rsid w:val="00522D6A"/>
    <w:rsid w:val="0052472F"/>
    <w:rsid w:val="0052496B"/>
    <w:rsid w:val="005302EE"/>
    <w:rsid w:val="0053204A"/>
    <w:rsid w:val="00533AA3"/>
    <w:rsid w:val="00533D98"/>
    <w:rsid w:val="00534755"/>
    <w:rsid w:val="00534B59"/>
    <w:rsid w:val="00534E6D"/>
    <w:rsid w:val="00536759"/>
    <w:rsid w:val="00536D7D"/>
    <w:rsid w:val="00537C62"/>
    <w:rsid w:val="00540536"/>
    <w:rsid w:val="005405A1"/>
    <w:rsid w:val="0054066D"/>
    <w:rsid w:val="00540AEF"/>
    <w:rsid w:val="0054282F"/>
    <w:rsid w:val="00542C78"/>
    <w:rsid w:val="00546774"/>
    <w:rsid w:val="00546970"/>
    <w:rsid w:val="005477D0"/>
    <w:rsid w:val="00550442"/>
    <w:rsid w:val="00554192"/>
    <w:rsid w:val="00554B13"/>
    <w:rsid w:val="00554D21"/>
    <w:rsid w:val="00554E19"/>
    <w:rsid w:val="00555386"/>
    <w:rsid w:val="005554E5"/>
    <w:rsid w:val="00556261"/>
    <w:rsid w:val="00557EDC"/>
    <w:rsid w:val="0056121F"/>
    <w:rsid w:val="005627B2"/>
    <w:rsid w:val="00562C4B"/>
    <w:rsid w:val="00565404"/>
    <w:rsid w:val="00565C52"/>
    <w:rsid w:val="00572505"/>
    <w:rsid w:val="0057355C"/>
    <w:rsid w:val="00573920"/>
    <w:rsid w:val="00573C3B"/>
    <w:rsid w:val="00573CFD"/>
    <w:rsid w:val="00573D3D"/>
    <w:rsid w:val="0057593D"/>
    <w:rsid w:val="00575DA6"/>
    <w:rsid w:val="005767C6"/>
    <w:rsid w:val="00576CEF"/>
    <w:rsid w:val="005814C6"/>
    <w:rsid w:val="00581E84"/>
    <w:rsid w:val="00582446"/>
    <w:rsid w:val="005825E5"/>
    <w:rsid w:val="00582809"/>
    <w:rsid w:val="005831CA"/>
    <w:rsid w:val="00583B33"/>
    <w:rsid w:val="00583BD0"/>
    <w:rsid w:val="00583C4F"/>
    <w:rsid w:val="00583D71"/>
    <w:rsid w:val="00584E19"/>
    <w:rsid w:val="00585B03"/>
    <w:rsid w:val="0058763D"/>
    <w:rsid w:val="0058798C"/>
    <w:rsid w:val="005900FA"/>
    <w:rsid w:val="005903E7"/>
    <w:rsid w:val="00592A06"/>
    <w:rsid w:val="00592B54"/>
    <w:rsid w:val="005935A4"/>
    <w:rsid w:val="005948C2"/>
    <w:rsid w:val="00595DCA"/>
    <w:rsid w:val="0059779B"/>
    <w:rsid w:val="005A02FE"/>
    <w:rsid w:val="005A0509"/>
    <w:rsid w:val="005A062E"/>
    <w:rsid w:val="005A209A"/>
    <w:rsid w:val="005A28ED"/>
    <w:rsid w:val="005A2A5C"/>
    <w:rsid w:val="005A4513"/>
    <w:rsid w:val="005A5DD4"/>
    <w:rsid w:val="005A662D"/>
    <w:rsid w:val="005A777E"/>
    <w:rsid w:val="005A7E95"/>
    <w:rsid w:val="005B1993"/>
    <w:rsid w:val="005B20AF"/>
    <w:rsid w:val="005B35D7"/>
    <w:rsid w:val="005B392A"/>
    <w:rsid w:val="005B3AA3"/>
    <w:rsid w:val="005B4BD9"/>
    <w:rsid w:val="005B4D3D"/>
    <w:rsid w:val="005B6DAD"/>
    <w:rsid w:val="005B6F83"/>
    <w:rsid w:val="005C03D2"/>
    <w:rsid w:val="005C2C38"/>
    <w:rsid w:val="005C2ECC"/>
    <w:rsid w:val="005C3A4D"/>
    <w:rsid w:val="005C5459"/>
    <w:rsid w:val="005C74FB"/>
    <w:rsid w:val="005C78B0"/>
    <w:rsid w:val="005C7D9B"/>
    <w:rsid w:val="005D1165"/>
    <w:rsid w:val="005D1602"/>
    <w:rsid w:val="005D1746"/>
    <w:rsid w:val="005D321A"/>
    <w:rsid w:val="005D4046"/>
    <w:rsid w:val="005D5882"/>
    <w:rsid w:val="005D7F7C"/>
    <w:rsid w:val="005E385F"/>
    <w:rsid w:val="005E5B81"/>
    <w:rsid w:val="005F1D65"/>
    <w:rsid w:val="005F2CB1"/>
    <w:rsid w:val="005F3025"/>
    <w:rsid w:val="005F3462"/>
    <w:rsid w:val="005F3F57"/>
    <w:rsid w:val="005F618C"/>
    <w:rsid w:val="005F6CA6"/>
    <w:rsid w:val="005F70BD"/>
    <w:rsid w:val="00600208"/>
    <w:rsid w:val="0060283C"/>
    <w:rsid w:val="0060308C"/>
    <w:rsid w:val="006036AE"/>
    <w:rsid w:val="006038B0"/>
    <w:rsid w:val="00604F14"/>
    <w:rsid w:val="00610894"/>
    <w:rsid w:val="00611B83"/>
    <w:rsid w:val="006122D1"/>
    <w:rsid w:val="006123CC"/>
    <w:rsid w:val="00613257"/>
    <w:rsid w:val="00614D9C"/>
    <w:rsid w:val="00615D33"/>
    <w:rsid w:val="0061694D"/>
    <w:rsid w:val="00617D79"/>
    <w:rsid w:val="00620A71"/>
    <w:rsid w:val="00620D80"/>
    <w:rsid w:val="006232DE"/>
    <w:rsid w:val="006234A6"/>
    <w:rsid w:val="00623E4B"/>
    <w:rsid w:val="00625742"/>
    <w:rsid w:val="00627514"/>
    <w:rsid w:val="006278D1"/>
    <w:rsid w:val="00630001"/>
    <w:rsid w:val="006300DD"/>
    <w:rsid w:val="00630896"/>
    <w:rsid w:val="00630B16"/>
    <w:rsid w:val="006311B3"/>
    <w:rsid w:val="00631EF2"/>
    <w:rsid w:val="00632324"/>
    <w:rsid w:val="0063284C"/>
    <w:rsid w:val="006333A0"/>
    <w:rsid w:val="00634343"/>
    <w:rsid w:val="00634FB2"/>
    <w:rsid w:val="006356CF"/>
    <w:rsid w:val="00635ABD"/>
    <w:rsid w:val="00635F3B"/>
    <w:rsid w:val="00636398"/>
    <w:rsid w:val="006368D3"/>
    <w:rsid w:val="00636A88"/>
    <w:rsid w:val="006377EC"/>
    <w:rsid w:val="00637953"/>
    <w:rsid w:val="00637D10"/>
    <w:rsid w:val="0064062E"/>
    <w:rsid w:val="00640F3B"/>
    <w:rsid w:val="0064151F"/>
    <w:rsid w:val="00641533"/>
    <w:rsid w:val="006417C7"/>
    <w:rsid w:val="0064208D"/>
    <w:rsid w:val="00643475"/>
    <w:rsid w:val="0064396A"/>
    <w:rsid w:val="0064624E"/>
    <w:rsid w:val="0064679A"/>
    <w:rsid w:val="006509AB"/>
    <w:rsid w:val="00650AB9"/>
    <w:rsid w:val="00651053"/>
    <w:rsid w:val="00655733"/>
    <w:rsid w:val="00655ACD"/>
    <w:rsid w:val="00656A2C"/>
    <w:rsid w:val="00656A92"/>
    <w:rsid w:val="00656DDE"/>
    <w:rsid w:val="0066011D"/>
    <w:rsid w:val="006607C0"/>
    <w:rsid w:val="006613A6"/>
    <w:rsid w:val="00662538"/>
    <w:rsid w:val="006627A2"/>
    <w:rsid w:val="00662C9A"/>
    <w:rsid w:val="006634E6"/>
    <w:rsid w:val="006655EE"/>
    <w:rsid w:val="00665D97"/>
    <w:rsid w:val="00665FFC"/>
    <w:rsid w:val="0066618E"/>
    <w:rsid w:val="00666B33"/>
    <w:rsid w:val="00667EE7"/>
    <w:rsid w:val="00670922"/>
    <w:rsid w:val="00670BE1"/>
    <w:rsid w:val="00671C2A"/>
    <w:rsid w:val="00671FC4"/>
    <w:rsid w:val="0067218F"/>
    <w:rsid w:val="006734C2"/>
    <w:rsid w:val="006741F2"/>
    <w:rsid w:val="00674CC3"/>
    <w:rsid w:val="00675C72"/>
    <w:rsid w:val="006771F9"/>
    <w:rsid w:val="006776D7"/>
    <w:rsid w:val="006806DC"/>
    <w:rsid w:val="00680C2F"/>
    <w:rsid w:val="00680FE2"/>
    <w:rsid w:val="00681003"/>
    <w:rsid w:val="006817C9"/>
    <w:rsid w:val="00682177"/>
    <w:rsid w:val="00683ECE"/>
    <w:rsid w:val="006865E4"/>
    <w:rsid w:val="00686B2C"/>
    <w:rsid w:val="00687BA5"/>
    <w:rsid w:val="00693D2F"/>
    <w:rsid w:val="00695126"/>
    <w:rsid w:val="006951A6"/>
    <w:rsid w:val="00695FC2"/>
    <w:rsid w:val="0069678F"/>
    <w:rsid w:val="00696949"/>
    <w:rsid w:val="00696DA7"/>
    <w:rsid w:val="00696DED"/>
    <w:rsid w:val="00697052"/>
    <w:rsid w:val="006A1086"/>
    <w:rsid w:val="006A46FB"/>
    <w:rsid w:val="006A4DA7"/>
    <w:rsid w:val="006A5392"/>
    <w:rsid w:val="006A5CFB"/>
    <w:rsid w:val="006A5E28"/>
    <w:rsid w:val="006A6585"/>
    <w:rsid w:val="006A6619"/>
    <w:rsid w:val="006A697B"/>
    <w:rsid w:val="006A7AFF"/>
    <w:rsid w:val="006B025E"/>
    <w:rsid w:val="006B031C"/>
    <w:rsid w:val="006B1816"/>
    <w:rsid w:val="006B2099"/>
    <w:rsid w:val="006B287F"/>
    <w:rsid w:val="006B30FB"/>
    <w:rsid w:val="006B50CF"/>
    <w:rsid w:val="006B717E"/>
    <w:rsid w:val="006B7B17"/>
    <w:rsid w:val="006B7C04"/>
    <w:rsid w:val="006B7E40"/>
    <w:rsid w:val="006C03B8"/>
    <w:rsid w:val="006C5EC9"/>
    <w:rsid w:val="006C6059"/>
    <w:rsid w:val="006C6DC1"/>
    <w:rsid w:val="006C7312"/>
    <w:rsid w:val="006C7522"/>
    <w:rsid w:val="006D21ED"/>
    <w:rsid w:val="006D27AF"/>
    <w:rsid w:val="006D34A3"/>
    <w:rsid w:val="006D4D77"/>
    <w:rsid w:val="006D6F08"/>
    <w:rsid w:val="006D71ED"/>
    <w:rsid w:val="006E062C"/>
    <w:rsid w:val="006E1371"/>
    <w:rsid w:val="006E1514"/>
    <w:rsid w:val="006E173C"/>
    <w:rsid w:val="006E1779"/>
    <w:rsid w:val="006E18CD"/>
    <w:rsid w:val="006E212B"/>
    <w:rsid w:val="006E2288"/>
    <w:rsid w:val="006E28B7"/>
    <w:rsid w:val="006E3310"/>
    <w:rsid w:val="006E4E39"/>
    <w:rsid w:val="006E565E"/>
    <w:rsid w:val="006E5C6A"/>
    <w:rsid w:val="006E673D"/>
    <w:rsid w:val="006E6F50"/>
    <w:rsid w:val="006E713C"/>
    <w:rsid w:val="006E7549"/>
    <w:rsid w:val="006E7D3B"/>
    <w:rsid w:val="006F01D0"/>
    <w:rsid w:val="006F0C95"/>
    <w:rsid w:val="006F1B70"/>
    <w:rsid w:val="006F341D"/>
    <w:rsid w:val="006F3CDE"/>
    <w:rsid w:val="006F58D4"/>
    <w:rsid w:val="006F651E"/>
    <w:rsid w:val="006F7B2C"/>
    <w:rsid w:val="0070162B"/>
    <w:rsid w:val="00701DCE"/>
    <w:rsid w:val="0070346E"/>
    <w:rsid w:val="00703D21"/>
    <w:rsid w:val="00704DCD"/>
    <w:rsid w:val="00704EDB"/>
    <w:rsid w:val="00706101"/>
    <w:rsid w:val="007063E2"/>
    <w:rsid w:val="00707072"/>
    <w:rsid w:val="00707D61"/>
    <w:rsid w:val="00710781"/>
    <w:rsid w:val="00710B62"/>
    <w:rsid w:val="00710EBA"/>
    <w:rsid w:val="00712287"/>
    <w:rsid w:val="00712772"/>
    <w:rsid w:val="00713ADA"/>
    <w:rsid w:val="007148D3"/>
    <w:rsid w:val="00715B9A"/>
    <w:rsid w:val="00715C1B"/>
    <w:rsid w:val="00717834"/>
    <w:rsid w:val="00717E83"/>
    <w:rsid w:val="007227B2"/>
    <w:rsid w:val="00724A16"/>
    <w:rsid w:val="00724AF6"/>
    <w:rsid w:val="0072663A"/>
    <w:rsid w:val="00726CE7"/>
    <w:rsid w:val="00726EA6"/>
    <w:rsid w:val="00727208"/>
    <w:rsid w:val="00727680"/>
    <w:rsid w:val="007320B8"/>
    <w:rsid w:val="007348B1"/>
    <w:rsid w:val="00734AAF"/>
    <w:rsid w:val="00734B2C"/>
    <w:rsid w:val="007350BC"/>
    <w:rsid w:val="007362A6"/>
    <w:rsid w:val="007368B4"/>
    <w:rsid w:val="00736D7D"/>
    <w:rsid w:val="00737111"/>
    <w:rsid w:val="00737D97"/>
    <w:rsid w:val="00737FB0"/>
    <w:rsid w:val="00740E58"/>
    <w:rsid w:val="00741EC6"/>
    <w:rsid w:val="00742802"/>
    <w:rsid w:val="00742A80"/>
    <w:rsid w:val="00742C44"/>
    <w:rsid w:val="0074315E"/>
    <w:rsid w:val="0074459E"/>
    <w:rsid w:val="007445A0"/>
    <w:rsid w:val="00744E21"/>
    <w:rsid w:val="0074524B"/>
    <w:rsid w:val="00747D8B"/>
    <w:rsid w:val="00750A21"/>
    <w:rsid w:val="00751228"/>
    <w:rsid w:val="00752A04"/>
    <w:rsid w:val="00753486"/>
    <w:rsid w:val="00753D24"/>
    <w:rsid w:val="007550B2"/>
    <w:rsid w:val="007571E1"/>
    <w:rsid w:val="007604B2"/>
    <w:rsid w:val="007604D8"/>
    <w:rsid w:val="00761B49"/>
    <w:rsid w:val="00762202"/>
    <w:rsid w:val="0076299E"/>
    <w:rsid w:val="00763983"/>
    <w:rsid w:val="00764180"/>
    <w:rsid w:val="00765281"/>
    <w:rsid w:val="00765D3A"/>
    <w:rsid w:val="007666E8"/>
    <w:rsid w:val="00766BAD"/>
    <w:rsid w:val="007707E7"/>
    <w:rsid w:val="00773276"/>
    <w:rsid w:val="0077381A"/>
    <w:rsid w:val="00774D93"/>
    <w:rsid w:val="007755F2"/>
    <w:rsid w:val="00776705"/>
    <w:rsid w:val="00776971"/>
    <w:rsid w:val="00777255"/>
    <w:rsid w:val="007775CC"/>
    <w:rsid w:val="00777D37"/>
    <w:rsid w:val="00777E08"/>
    <w:rsid w:val="00777F7A"/>
    <w:rsid w:val="00781425"/>
    <w:rsid w:val="0078177E"/>
    <w:rsid w:val="00783001"/>
    <w:rsid w:val="0078304C"/>
    <w:rsid w:val="0078307C"/>
    <w:rsid w:val="00783673"/>
    <w:rsid w:val="00784C23"/>
    <w:rsid w:val="00785490"/>
    <w:rsid w:val="00786D24"/>
    <w:rsid w:val="00787B16"/>
    <w:rsid w:val="00787E63"/>
    <w:rsid w:val="00790B99"/>
    <w:rsid w:val="00791BBB"/>
    <w:rsid w:val="00792015"/>
    <w:rsid w:val="007925EA"/>
    <w:rsid w:val="00793977"/>
    <w:rsid w:val="00793CD8"/>
    <w:rsid w:val="00795C92"/>
    <w:rsid w:val="00796231"/>
    <w:rsid w:val="00796317"/>
    <w:rsid w:val="00796573"/>
    <w:rsid w:val="00796B93"/>
    <w:rsid w:val="00796CA9"/>
    <w:rsid w:val="00796CE3"/>
    <w:rsid w:val="007A1CB3"/>
    <w:rsid w:val="007A306F"/>
    <w:rsid w:val="007A321A"/>
    <w:rsid w:val="007A43A6"/>
    <w:rsid w:val="007A58A6"/>
    <w:rsid w:val="007A5B38"/>
    <w:rsid w:val="007B166B"/>
    <w:rsid w:val="007B3B8E"/>
    <w:rsid w:val="007B3D2D"/>
    <w:rsid w:val="007B50AE"/>
    <w:rsid w:val="007B51DF"/>
    <w:rsid w:val="007B65CE"/>
    <w:rsid w:val="007B6D86"/>
    <w:rsid w:val="007B7374"/>
    <w:rsid w:val="007B7609"/>
    <w:rsid w:val="007B774B"/>
    <w:rsid w:val="007C05DD"/>
    <w:rsid w:val="007C1752"/>
    <w:rsid w:val="007C3D18"/>
    <w:rsid w:val="007C47AB"/>
    <w:rsid w:val="007C60BF"/>
    <w:rsid w:val="007C66BF"/>
    <w:rsid w:val="007C6A07"/>
    <w:rsid w:val="007C75A1"/>
    <w:rsid w:val="007C771D"/>
    <w:rsid w:val="007C77A5"/>
    <w:rsid w:val="007D04E5"/>
    <w:rsid w:val="007D108F"/>
    <w:rsid w:val="007D3A25"/>
    <w:rsid w:val="007D4603"/>
    <w:rsid w:val="007D5901"/>
    <w:rsid w:val="007D6B5B"/>
    <w:rsid w:val="007D7163"/>
    <w:rsid w:val="007D7526"/>
    <w:rsid w:val="007D7BC4"/>
    <w:rsid w:val="007D7ECA"/>
    <w:rsid w:val="007E0479"/>
    <w:rsid w:val="007E2F26"/>
    <w:rsid w:val="007E3261"/>
    <w:rsid w:val="007E4610"/>
    <w:rsid w:val="007E4715"/>
    <w:rsid w:val="007E4B43"/>
    <w:rsid w:val="007E505B"/>
    <w:rsid w:val="007E6B16"/>
    <w:rsid w:val="007E7091"/>
    <w:rsid w:val="007E79A7"/>
    <w:rsid w:val="007F0677"/>
    <w:rsid w:val="007F072E"/>
    <w:rsid w:val="007F13C4"/>
    <w:rsid w:val="007F22FA"/>
    <w:rsid w:val="007F2F65"/>
    <w:rsid w:val="007F6A1E"/>
    <w:rsid w:val="007F75D5"/>
    <w:rsid w:val="00800838"/>
    <w:rsid w:val="00803058"/>
    <w:rsid w:val="00803122"/>
    <w:rsid w:val="00803FAE"/>
    <w:rsid w:val="008054E8"/>
    <w:rsid w:val="00805AB5"/>
    <w:rsid w:val="00805AD4"/>
    <w:rsid w:val="0080605F"/>
    <w:rsid w:val="00806A09"/>
    <w:rsid w:val="00806EE7"/>
    <w:rsid w:val="00807786"/>
    <w:rsid w:val="008079B6"/>
    <w:rsid w:val="00807CA0"/>
    <w:rsid w:val="00810639"/>
    <w:rsid w:val="00810A3F"/>
    <w:rsid w:val="008112E8"/>
    <w:rsid w:val="00811B55"/>
    <w:rsid w:val="00811FCB"/>
    <w:rsid w:val="00812285"/>
    <w:rsid w:val="00812570"/>
    <w:rsid w:val="008142D6"/>
    <w:rsid w:val="00814DF6"/>
    <w:rsid w:val="008158D6"/>
    <w:rsid w:val="00816D0D"/>
    <w:rsid w:val="00817196"/>
    <w:rsid w:val="00817304"/>
    <w:rsid w:val="0081772E"/>
    <w:rsid w:val="008235DB"/>
    <w:rsid w:val="008248D8"/>
    <w:rsid w:val="00824AB4"/>
    <w:rsid w:val="00825C42"/>
    <w:rsid w:val="00825D25"/>
    <w:rsid w:val="00827D6F"/>
    <w:rsid w:val="00830067"/>
    <w:rsid w:val="00830177"/>
    <w:rsid w:val="008304C7"/>
    <w:rsid w:val="00831D3D"/>
    <w:rsid w:val="00832BF8"/>
    <w:rsid w:val="00834689"/>
    <w:rsid w:val="00836391"/>
    <w:rsid w:val="008370EA"/>
    <w:rsid w:val="008376AC"/>
    <w:rsid w:val="008403CE"/>
    <w:rsid w:val="00841798"/>
    <w:rsid w:val="00841A71"/>
    <w:rsid w:val="00842EA5"/>
    <w:rsid w:val="008444E8"/>
    <w:rsid w:val="00844E80"/>
    <w:rsid w:val="00845B67"/>
    <w:rsid w:val="00846750"/>
    <w:rsid w:val="00846FE7"/>
    <w:rsid w:val="0084750B"/>
    <w:rsid w:val="00850702"/>
    <w:rsid w:val="00851D4C"/>
    <w:rsid w:val="00852BBD"/>
    <w:rsid w:val="008540EE"/>
    <w:rsid w:val="00854E62"/>
    <w:rsid w:val="00854E76"/>
    <w:rsid w:val="00855CD9"/>
    <w:rsid w:val="0085672C"/>
    <w:rsid w:val="00856911"/>
    <w:rsid w:val="00856AAA"/>
    <w:rsid w:val="00856E89"/>
    <w:rsid w:val="008579E3"/>
    <w:rsid w:val="00862B39"/>
    <w:rsid w:val="00862BA7"/>
    <w:rsid w:val="00865E18"/>
    <w:rsid w:val="00865E90"/>
    <w:rsid w:val="00866B64"/>
    <w:rsid w:val="00866BC0"/>
    <w:rsid w:val="008677FD"/>
    <w:rsid w:val="008706D4"/>
    <w:rsid w:val="00870918"/>
    <w:rsid w:val="00870F8A"/>
    <w:rsid w:val="008719A4"/>
    <w:rsid w:val="00871D23"/>
    <w:rsid w:val="00874041"/>
    <w:rsid w:val="00874312"/>
    <w:rsid w:val="0087437C"/>
    <w:rsid w:val="00874CE2"/>
    <w:rsid w:val="00875CD7"/>
    <w:rsid w:val="0087641E"/>
    <w:rsid w:val="00876B4D"/>
    <w:rsid w:val="00876F50"/>
    <w:rsid w:val="00877F18"/>
    <w:rsid w:val="00877F78"/>
    <w:rsid w:val="00880FCC"/>
    <w:rsid w:val="00884C0C"/>
    <w:rsid w:val="00885D2F"/>
    <w:rsid w:val="00887D82"/>
    <w:rsid w:val="008905C7"/>
    <w:rsid w:val="00891B0B"/>
    <w:rsid w:val="00891BD5"/>
    <w:rsid w:val="008938BA"/>
    <w:rsid w:val="00894A88"/>
    <w:rsid w:val="00895386"/>
    <w:rsid w:val="008A1D9D"/>
    <w:rsid w:val="008A21FF"/>
    <w:rsid w:val="008A2CE2"/>
    <w:rsid w:val="008A30AC"/>
    <w:rsid w:val="008A3BAE"/>
    <w:rsid w:val="008A44B8"/>
    <w:rsid w:val="008A5182"/>
    <w:rsid w:val="008A51A8"/>
    <w:rsid w:val="008A54C7"/>
    <w:rsid w:val="008A77D8"/>
    <w:rsid w:val="008B0483"/>
    <w:rsid w:val="008B120C"/>
    <w:rsid w:val="008B4AE9"/>
    <w:rsid w:val="008B51A0"/>
    <w:rsid w:val="008B5268"/>
    <w:rsid w:val="008B592A"/>
    <w:rsid w:val="008B71D7"/>
    <w:rsid w:val="008B7B5C"/>
    <w:rsid w:val="008C0AD7"/>
    <w:rsid w:val="008C0C99"/>
    <w:rsid w:val="008C0FB1"/>
    <w:rsid w:val="008C1F28"/>
    <w:rsid w:val="008C2017"/>
    <w:rsid w:val="008C2913"/>
    <w:rsid w:val="008C32A6"/>
    <w:rsid w:val="008C444C"/>
    <w:rsid w:val="008C4958"/>
    <w:rsid w:val="008C4BAA"/>
    <w:rsid w:val="008C5641"/>
    <w:rsid w:val="008C6AE8"/>
    <w:rsid w:val="008C7573"/>
    <w:rsid w:val="008D10E2"/>
    <w:rsid w:val="008D2BA4"/>
    <w:rsid w:val="008D34F1"/>
    <w:rsid w:val="008D38BD"/>
    <w:rsid w:val="008D39D8"/>
    <w:rsid w:val="008D53B6"/>
    <w:rsid w:val="008D6D1A"/>
    <w:rsid w:val="008E065E"/>
    <w:rsid w:val="008E0927"/>
    <w:rsid w:val="008E09D0"/>
    <w:rsid w:val="008E1909"/>
    <w:rsid w:val="008E2A3E"/>
    <w:rsid w:val="008E32C0"/>
    <w:rsid w:val="008E37ED"/>
    <w:rsid w:val="008E497C"/>
    <w:rsid w:val="008E4EDA"/>
    <w:rsid w:val="008E52B1"/>
    <w:rsid w:val="008E5D6C"/>
    <w:rsid w:val="008E72EF"/>
    <w:rsid w:val="008E731C"/>
    <w:rsid w:val="008F026D"/>
    <w:rsid w:val="008F0EA2"/>
    <w:rsid w:val="008F1856"/>
    <w:rsid w:val="008F1EAB"/>
    <w:rsid w:val="008F234C"/>
    <w:rsid w:val="008F33DC"/>
    <w:rsid w:val="008F420B"/>
    <w:rsid w:val="008F477F"/>
    <w:rsid w:val="008F60B5"/>
    <w:rsid w:val="008F68E1"/>
    <w:rsid w:val="008F713A"/>
    <w:rsid w:val="00901115"/>
    <w:rsid w:val="00902350"/>
    <w:rsid w:val="0090336B"/>
    <w:rsid w:val="00904C4C"/>
    <w:rsid w:val="00904CFD"/>
    <w:rsid w:val="009053AA"/>
    <w:rsid w:val="00906939"/>
    <w:rsid w:val="00906DE1"/>
    <w:rsid w:val="00910B7D"/>
    <w:rsid w:val="00911DFB"/>
    <w:rsid w:val="0091363D"/>
    <w:rsid w:val="009139D9"/>
    <w:rsid w:val="00913BAC"/>
    <w:rsid w:val="00914AD8"/>
    <w:rsid w:val="009151AE"/>
    <w:rsid w:val="00916079"/>
    <w:rsid w:val="00916118"/>
    <w:rsid w:val="0091676D"/>
    <w:rsid w:val="009177C4"/>
    <w:rsid w:val="00917CE9"/>
    <w:rsid w:val="009208D7"/>
    <w:rsid w:val="00920BF2"/>
    <w:rsid w:val="00920E89"/>
    <w:rsid w:val="00922010"/>
    <w:rsid w:val="00923721"/>
    <w:rsid w:val="00923793"/>
    <w:rsid w:val="00924AB9"/>
    <w:rsid w:val="00924DC4"/>
    <w:rsid w:val="00930548"/>
    <w:rsid w:val="00930CC5"/>
    <w:rsid w:val="00931BD9"/>
    <w:rsid w:val="00931E21"/>
    <w:rsid w:val="00932258"/>
    <w:rsid w:val="00932287"/>
    <w:rsid w:val="00935739"/>
    <w:rsid w:val="009368F3"/>
    <w:rsid w:val="00936C4A"/>
    <w:rsid w:val="00940AFF"/>
    <w:rsid w:val="00940EB2"/>
    <w:rsid w:val="00941636"/>
    <w:rsid w:val="009431A5"/>
    <w:rsid w:val="00943742"/>
    <w:rsid w:val="00944562"/>
    <w:rsid w:val="00944C68"/>
    <w:rsid w:val="0094516D"/>
    <w:rsid w:val="00945C05"/>
    <w:rsid w:val="00945DBB"/>
    <w:rsid w:val="00946945"/>
    <w:rsid w:val="00947713"/>
    <w:rsid w:val="009479AA"/>
    <w:rsid w:val="00947DDD"/>
    <w:rsid w:val="00950DE7"/>
    <w:rsid w:val="00952528"/>
    <w:rsid w:val="00952A24"/>
    <w:rsid w:val="00953920"/>
    <w:rsid w:val="00953D47"/>
    <w:rsid w:val="009544B9"/>
    <w:rsid w:val="00954B53"/>
    <w:rsid w:val="0095681E"/>
    <w:rsid w:val="009572D4"/>
    <w:rsid w:val="00961921"/>
    <w:rsid w:val="00962096"/>
    <w:rsid w:val="0096430A"/>
    <w:rsid w:val="009646E4"/>
    <w:rsid w:val="009647C7"/>
    <w:rsid w:val="00964DDA"/>
    <w:rsid w:val="00965158"/>
    <w:rsid w:val="0096554B"/>
    <w:rsid w:val="0096584A"/>
    <w:rsid w:val="009677CE"/>
    <w:rsid w:val="009709A7"/>
    <w:rsid w:val="00971F08"/>
    <w:rsid w:val="00971FA7"/>
    <w:rsid w:val="00973C34"/>
    <w:rsid w:val="0097493A"/>
    <w:rsid w:val="0097603D"/>
    <w:rsid w:val="00976949"/>
    <w:rsid w:val="00976954"/>
    <w:rsid w:val="00980321"/>
    <w:rsid w:val="00980477"/>
    <w:rsid w:val="00982379"/>
    <w:rsid w:val="00982946"/>
    <w:rsid w:val="00983383"/>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310F"/>
    <w:rsid w:val="009A3DE5"/>
    <w:rsid w:val="009A4210"/>
    <w:rsid w:val="009A462D"/>
    <w:rsid w:val="009A4962"/>
    <w:rsid w:val="009A5CBA"/>
    <w:rsid w:val="009A7113"/>
    <w:rsid w:val="009B11BE"/>
    <w:rsid w:val="009B16D6"/>
    <w:rsid w:val="009B1F30"/>
    <w:rsid w:val="009B2162"/>
    <w:rsid w:val="009B21B0"/>
    <w:rsid w:val="009B26E2"/>
    <w:rsid w:val="009B3AC2"/>
    <w:rsid w:val="009B3EFC"/>
    <w:rsid w:val="009B4446"/>
    <w:rsid w:val="009B4DF4"/>
    <w:rsid w:val="009B564E"/>
    <w:rsid w:val="009B5A92"/>
    <w:rsid w:val="009B5FF0"/>
    <w:rsid w:val="009B7A38"/>
    <w:rsid w:val="009B7E87"/>
    <w:rsid w:val="009C08AE"/>
    <w:rsid w:val="009C2459"/>
    <w:rsid w:val="009C2F32"/>
    <w:rsid w:val="009C403E"/>
    <w:rsid w:val="009C6832"/>
    <w:rsid w:val="009D1F11"/>
    <w:rsid w:val="009D3180"/>
    <w:rsid w:val="009D4178"/>
    <w:rsid w:val="009D4FF0"/>
    <w:rsid w:val="009D64FB"/>
    <w:rsid w:val="009D703C"/>
    <w:rsid w:val="009D718F"/>
    <w:rsid w:val="009D72DD"/>
    <w:rsid w:val="009D7C3D"/>
    <w:rsid w:val="009E068F"/>
    <w:rsid w:val="009E0790"/>
    <w:rsid w:val="009E0992"/>
    <w:rsid w:val="009E14E0"/>
    <w:rsid w:val="009E1689"/>
    <w:rsid w:val="009E2B48"/>
    <w:rsid w:val="009E32D2"/>
    <w:rsid w:val="009E35DB"/>
    <w:rsid w:val="009E4045"/>
    <w:rsid w:val="009E4726"/>
    <w:rsid w:val="009E47A3"/>
    <w:rsid w:val="009E581A"/>
    <w:rsid w:val="009E715F"/>
    <w:rsid w:val="009F08F3"/>
    <w:rsid w:val="009F0C99"/>
    <w:rsid w:val="009F1E46"/>
    <w:rsid w:val="009F344F"/>
    <w:rsid w:val="009F3D66"/>
    <w:rsid w:val="009F7446"/>
    <w:rsid w:val="00A01C14"/>
    <w:rsid w:val="00A031D8"/>
    <w:rsid w:val="00A037CE"/>
    <w:rsid w:val="00A041FE"/>
    <w:rsid w:val="00A048A8"/>
    <w:rsid w:val="00A04F49"/>
    <w:rsid w:val="00A05A89"/>
    <w:rsid w:val="00A13E54"/>
    <w:rsid w:val="00A15471"/>
    <w:rsid w:val="00A15745"/>
    <w:rsid w:val="00A16C61"/>
    <w:rsid w:val="00A16FA2"/>
    <w:rsid w:val="00A173F3"/>
    <w:rsid w:val="00A17F63"/>
    <w:rsid w:val="00A21086"/>
    <w:rsid w:val="00A2193B"/>
    <w:rsid w:val="00A2351A"/>
    <w:rsid w:val="00A264A9"/>
    <w:rsid w:val="00A269E0"/>
    <w:rsid w:val="00A27785"/>
    <w:rsid w:val="00A278A1"/>
    <w:rsid w:val="00A30187"/>
    <w:rsid w:val="00A30B29"/>
    <w:rsid w:val="00A30CB9"/>
    <w:rsid w:val="00A33BAA"/>
    <w:rsid w:val="00A3448A"/>
    <w:rsid w:val="00A35188"/>
    <w:rsid w:val="00A36297"/>
    <w:rsid w:val="00A3790F"/>
    <w:rsid w:val="00A37B9F"/>
    <w:rsid w:val="00A37E72"/>
    <w:rsid w:val="00A41E2B"/>
    <w:rsid w:val="00A4316C"/>
    <w:rsid w:val="00A4597C"/>
    <w:rsid w:val="00A45B74"/>
    <w:rsid w:val="00A47318"/>
    <w:rsid w:val="00A51CAD"/>
    <w:rsid w:val="00A52E1D"/>
    <w:rsid w:val="00A54BDE"/>
    <w:rsid w:val="00A55B8E"/>
    <w:rsid w:val="00A566D4"/>
    <w:rsid w:val="00A61499"/>
    <w:rsid w:val="00A61E2A"/>
    <w:rsid w:val="00A62A77"/>
    <w:rsid w:val="00A6337B"/>
    <w:rsid w:val="00A63483"/>
    <w:rsid w:val="00A642E7"/>
    <w:rsid w:val="00A657D7"/>
    <w:rsid w:val="00A660AC"/>
    <w:rsid w:val="00A67E6C"/>
    <w:rsid w:val="00A70360"/>
    <w:rsid w:val="00A703DD"/>
    <w:rsid w:val="00A71B99"/>
    <w:rsid w:val="00A739D0"/>
    <w:rsid w:val="00A73EDE"/>
    <w:rsid w:val="00A7402E"/>
    <w:rsid w:val="00A75C52"/>
    <w:rsid w:val="00A76040"/>
    <w:rsid w:val="00A760E9"/>
    <w:rsid w:val="00A761D4"/>
    <w:rsid w:val="00A77EC4"/>
    <w:rsid w:val="00A85C6C"/>
    <w:rsid w:val="00A85EF6"/>
    <w:rsid w:val="00A90A81"/>
    <w:rsid w:val="00A921FB"/>
    <w:rsid w:val="00A92879"/>
    <w:rsid w:val="00A9433C"/>
    <w:rsid w:val="00A9442A"/>
    <w:rsid w:val="00AA016F"/>
    <w:rsid w:val="00AA1ED6"/>
    <w:rsid w:val="00AA2151"/>
    <w:rsid w:val="00AA51D6"/>
    <w:rsid w:val="00AA62C4"/>
    <w:rsid w:val="00AB0BC8"/>
    <w:rsid w:val="00AB11CA"/>
    <w:rsid w:val="00AB14D9"/>
    <w:rsid w:val="00AB4AB8"/>
    <w:rsid w:val="00AB4E35"/>
    <w:rsid w:val="00AB62A2"/>
    <w:rsid w:val="00AB655E"/>
    <w:rsid w:val="00AB75E6"/>
    <w:rsid w:val="00AB7A42"/>
    <w:rsid w:val="00AC007F"/>
    <w:rsid w:val="00AC0718"/>
    <w:rsid w:val="00AC1341"/>
    <w:rsid w:val="00AC2ECD"/>
    <w:rsid w:val="00AC2F7D"/>
    <w:rsid w:val="00AC3119"/>
    <w:rsid w:val="00AC4658"/>
    <w:rsid w:val="00AC49FB"/>
    <w:rsid w:val="00AC4A11"/>
    <w:rsid w:val="00AC5A10"/>
    <w:rsid w:val="00AC5C38"/>
    <w:rsid w:val="00AC7789"/>
    <w:rsid w:val="00AD0AA3"/>
    <w:rsid w:val="00AD25DB"/>
    <w:rsid w:val="00AD3548"/>
    <w:rsid w:val="00AD3ED6"/>
    <w:rsid w:val="00AD3F94"/>
    <w:rsid w:val="00AD45AE"/>
    <w:rsid w:val="00AD4A5A"/>
    <w:rsid w:val="00AD5203"/>
    <w:rsid w:val="00AD5F0B"/>
    <w:rsid w:val="00AE1172"/>
    <w:rsid w:val="00AE1E13"/>
    <w:rsid w:val="00AE23FA"/>
    <w:rsid w:val="00AE27AC"/>
    <w:rsid w:val="00AE2FEB"/>
    <w:rsid w:val="00AE3237"/>
    <w:rsid w:val="00AE3DB2"/>
    <w:rsid w:val="00AE40E0"/>
    <w:rsid w:val="00AE46C7"/>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05151"/>
    <w:rsid w:val="00B1174B"/>
    <w:rsid w:val="00B11E99"/>
    <w:rsid w:val="00B157F9"/>
    <w:rsid w:val="00B16AC4"/>
    <w:rsid w:val="00B17664"/>
    <w:rsid w:val="00B20256"/>
    <w:rsid w:val="00B20D09"/>
    <w:rsid w:val="00B20D2F"/>
    <w:rsid w:val="00B23675"/>
    <w:rsid w:val="00B2763F"/>
    <w:rsid w:val="00B27AAC"/>
    <w:rsid w:val="00B27CA1"/>
    <w:rsid w:val="00B30929"/>
    <w:rsid w:val="00B311F7"/>
    <w:rsid w:val="00B322B3"/>
    <w:rsid w:val="00B36A76"/>
    <w:rsid w:val="00B36F5B"/>
    <w:rsid w:val="00B372AA"/>
    <w:rsid w:val="00B40445"/>
    <w:rsid w:val="00B40859"/>
    <w:rsid w:val="00B41888"/>
    <w:rsid w:val="00B45308"/>
    <w:rsid w:val="00B4541A"/>
    <w:rsid w:val="00B45A52"/>
    <w:rsid w:val="00B46175"/>
    <w:rsid w:val="00B53F90"/>
    <w:rsid w:val="00B5441F"/>
    <w:rsid w:val="00B56376"/>
    <w:rsid w:val="00B56474"/>
    <w:rsid w:val="00B61762"/>
    <w:rsid w:val="00B62718"/>
    <w:rsid w:val="00B62B2A"/>
    <w:rsid w:val="00B63DAB"/>
    <w:rsid w:val="00B65120"/>
    <w:rsid w:val="00B65C8A"/>
    <w:rsid w:val="00B664C7"/>
    <w:rsid w:val="00B67F1E"/>
    <w:rsid w:val="00B700A7"/>
    <w:rsid w:val="00B739F6"/>
    <w:rsid w:val="00B73D35"/>
    <w:rsid w:val="00B74618"/>
    <w:rsid w:val="00B74C0C"/>
    <w:rsid w:val="00B759BF"/>
    <w:rsid w:val="00B75A51"/>
    <w:rsid w:val="00B761E0"/>
    <w:rsid w:val="00B769D8"/>
    <w:rsid w:val="00B77BCE"/>
    <w:rsid w:val="00B81A6C"/>
    <w:rsid w:val="00B84AC6"/>
    <w:rsid w:val="00B853E1"/>
    <w:rsid w:val="00B85643"/>
    <w:rsid w:val="00B85DE5"/>
    <w:rsid w:val="00B8692A"/>
    <w:rsid w:val="00B90F73"/>
    <w:rsid w:val="00B911D4"/>
    <w:rsid w:val="00B91755"/>
    <w:rsid w:val="00B918F3"/>
    <w:rsid w:val="00B91A6C"/>
    <w:rsid w:val="00B9205B"/>
    <w:rsid w:val="00B929E5"/>
    <w:rsid w:val="00B92C8F"/>
    <w:rsid w:val="00B92FA9"/>
    <w:rsid w:val="00B93B59"/>
    <w:rsid w:val="00B9406A"/>
    <w:rsid w:val="00B9571C"/>
    <w:rsid w:val="00BA2280"/>
    <w:rsid w:val="00BA2A08"/>
    <w:rsid w:val="00BA4847"/>
    <w:rsid w:val="00BA56D2"/>
    <w:rsid w:val="00BA61B7"/>
    <w:rsid w:val="00BA76E0"/>
    <w:rsid w:val="00BB044F"/>
    <w:rsid w:val="00BB1FCD"/>
    <w:rsid w:val="00BB257C"/>
    <w:rsid w:val="00BB27CA"/>
    <w:rsid w:val="00BB2A25"/>
    <w:rsid w:val="00BB33A0"/>
    <w:rsid w:val="00BB51E9"/>
    <w:rsid w:val="00BC036B"/>
    <w:rsid w:val="00BC0613"/>
    <w:rsid w:val="00BC0FDC"/>
    <w:rsid w:val="00BC3053"/>
    <w:rsid w:val="00BC324D"/>
    <w:rsid w:val="00BC359E"/>
    <w:rsid w:val="00BC413C"/>
    <w:rsid w:val="00BC41F8"/>
    <w:rsid w:val="00BC4D2E"/>
    <w:rsid w:val="00BC50AE"/>
    <w:rsid w:val="00BC53ED"/>
    <w:rsid w:val="00BC5497"/>
    <w:rsid w:val="00BC7489"/>
    <w:rsid w:val="00BD48AC"/>
    <w:rsid w:val="00BD5580"/>
    <w:rsid w:val="00BD5A79"/>
    <w:rsid w:val="00BD5F1A"/>
    <w:rsid w:val="00BD6758"/>
    <w:rsid w:val="00BD6C50"/>
    <w:rsid w:val="00BE1234"/>
    <w:rsid w:val="00BE1680"/>
    <w:rsid w:val="00BE1C75"/>
    <w:rsid w:val="00BE2FA6"/>
    <w:rsid w:val="00BE333F"/>
    <w:rsid w:val="00BE3AEE"/>
    <w:rsid w:val="00BE7406"/>
    <w:rsid w:val="00BE7603"/>
    <w:rsid w:val="00BF1C2D"/>
    <w:rsid w:val="00BF3279"/>
    <w:rsid w:val="00BF36D1"/>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16C31"/>
    <w:rsid w:val="00C2536D"/>
    <w:rsid w:val="00C257E1"/>
    <w:rsid w:val="00C25ECC"/>
    <w:rsid w:val="00C279B5"/>
    <w:rsid w:val="00C27C45"/>
    <w:rsid w:val="00C31F86"/>
    <w:rsid w:val="00C33A78"/>
    <w:rsid w:val="00C33B33"/>
    <w:rsid w:val="00C355B1"/>
    <w:rsid w:val="00C3619C"/>
    <w:rsid w:val="00C36390"/>
    <w:rsid w:val="00C3719D"/>
    <w:rsid w:val="00C3785B"/>
    <w:rsid w:val="00C378F0"/>
    <w:rsid w:val="00C4445A"/>
    <w:rsid w:val="00C44DFB"/>
    <w:rsid w:val="00C4762D"/>
    <w:rsid w:val="00C47FAC"/>
    <w:rsid w:val="00C5326F"/>
    <w:rsid w:val="00C545B4"/>
    <w:rsid w:val="00C5485D"/>
    <w:rsid w:val="00C54995"/>
    <w:rsid w:val="00C54D41"/>
    <w:rsid w:val="00C54E13"/>
    <w:rsid w:val="00C55403"/>
    <w:rsid w:val="00C56E7A"/>
    <w:rsid w:val="00C6011A"/>
    <w:rsid w:val="00C60783"/>
    <w:rsid w:val="00C60CBA"/>
    <w:rsid w:val="00C62558"/>
    <w:rsid w:val="00C64644"/>
    <w:rsid w:val="00C64672"/>
    <w:rsid w:val="00C64B37"/>
    <w:rsid w:val="00C6554C"/>
    <w:rsid w:val="00C70697"/>
    <w:rsid w:val="00C70C0E"/>
    <w:rsid w:val="00C71F71"/>
    <w:rsid w:val="00C72605"/>
    <w:rsid w:val="00C72EF4"/>
    <w:rsid w:val="00C73202"/>
    <w:rsid w:val="00C7382B"/>
    <w:rsid w:val="00C73FA8"/>
    <w:rsid w:val="00C75D2F"/>
    <w:rsid w:val="00C75E8F"/>
    <w:rsid w:val="00C767BE"/>
    <w:rsid w:val="00C76987"/>
    <w:rsid w:val="00C76E3C"/>
    <w:rsid w:val="00C77B0F"/>
    <w:rsid w:val="00C80DD7"/>
    <w:rsid w:val="00C80EB4"/>
    <w:rsid w:val="00C81568"/>
    <w:rsid w:val="00C82CA7"/>
    <w:rsid w:val="00C83B70"/>
    <w:rsid w:val="00C84A6E"/>
    <w:rsid w:val="00C85B96"/>
    <w:rsid w:val="00C85EEE"/>
    <w:rsid w:val="00C87D34"/>
    <w:rsid w:val="00C87E79"/>
    <w:rsid w:val="00C87FDF"/>
    <w:rsid w:val="00C9027A"/>
    <w:rsid w:val="00C9058E"/>
    <w:rsid w:val="00C9068E"/>
    <w:rsid w:val="00C91CE5"/>
    <w:rsid w:val="00C92663"/>
    <w:rsid w:val="00C933DA"/>
    <w:rsid w:val="00C9386B"/>
    <w:rsid w:val="00C93937"/>
    <w:rsid w:val="00C93ABF"/>
    <w:rsid w:val="00C93C4B"/>
    <w:rsid w:val="00C944AB"/>
    <w:rsid w:val="00C94EDB"/>
    <w:rsid w:val="00C95B40"/>
    <w:rsid w:val="00C975FD"/>
    <w:rsid w:val="00C97E62"/>
    <w:rsid w:val="00CA1068"/>
    <w:rsid w:val="00CA11E6"/>
    <w:rsid w:val="00CA1ED8"/>
    <w:rsid w:val="00CA2417"/>
    <w:rsid w:val="00CA241A"/>
    <w:rsid w:val="00CA61FC"/>
    <w:rsid w:val="00CB002C"/>
    <w:rsid w:val="00CB0F52"/>
    <w:rsid w:val="00CB1945"/>
    <w:rsid w:val="00CB1C00"/>
    <w:rsid w:val="00CB1E33"/>
    <w:rsid w:val="00CB1F63"/>
    <w:rsid w:val="00CB2A6C"/>
    <w:rsid w:val="00CB3090"/>
    <w:rsid w:val="00CB3854"/>
    <w:rsid w:val="00CB5842"/>
    <w:rsid w:val="00CB59A6"/>
    <w:rsid w:val="00CB5B06"/>
    <w:rsid w:val="00CB67B6"/>
    <w:rsid w:val="00CB7170"/>
    <w:rsid w:val="00CB7724"/>
    <w:rsid w:val="00CC01E0"/>
    <w:rsid w:val="00CC040E"/>
    <w:rsid w:val="00CC0DA2"/>
    <w:rsid w:val="00CC111F"/>
    <w:rsid w:val="00CC18E7"/>
    <w:rsid w:val="00CC2011"/>
    <w:rsid w:val="00CC2862"/>
    <w:rsid w:val="00CC3CD6"/>
    <w:rsid w:val="00CC3EA0"/>
    <w:rsid w:val="00CC3F32"/>
    <w:rsid w:val="00CC4827"/>
    <w:rsid w:val="00CC5D64"/>
    <w:rsid w:val="00CC7B45"/>
    <w:rsid w:val="00CD0898"/>
    <w:rsid w:val="00CD1188"/>
    <w:rsid w:val="00CD27FD"/>
    <w:rsid w:val="00CD2ED1"/>
    <w:rsid w:val="00CD337B"/>
    <w:rsid w:val="00CD44ED"/>
    <w:rsid w:val="00CD512A"/>
    <w:rsid w:val="00CD5C0D"/>
    <w:rsid w:val="00CD60D2"/>
    <w:rsid w:val="00CD61A1"/>
    <w:rsid w:val="00CD61EA"/>
    <w:rsid w:val="00CE0320"/>
    <w:rsid w:val="00CE0424"/>
    <w:rsid w:val="00CE0ADB"/>
    <w:rsid w:val="00CE0CE1"/>
    <w:rsid w:val="00CE1E81"/>
    <w:rsid w:val="00CE7561"/>
    <w:rsid w:val="00CF1354"/>
    <w:rsid w:val="00CF3154"/>
    <w:rsid w:val="00CF3B1F"/>
    <w:rsid w:val="00CF3BF6"/>
    <w:rsid w:val="00CF5201"/>
    <w:rsid w:val="00CF625B"/>
    <w:rsid w:val="00CF687E"/>
    <w:rsid w:val="00CF74E2"/>
    <w:rsid w:val="00D02B6F"/>
    <w:rsid w:val="00D030F3"/>
    <w:rsid w:val="00D0349B"/>
    <w:rsid w:val="00D049E2"/>
    <w:rsid w:val="00D049FD"/>
    <w:rsid w:val="00D056CC"/>
    <w:rsid w:val="00D06D6F"/>
    <w:rsid w:val="00D072AF"/>
    <w:rsid w:val="00D10249"/>
    <w:rsid w:val="00D115C3"/>
    <w:rsid w:val="00D11897"/>
    <w:rsid w:val="00D13135"/>
    <w:rsid w:val="00D13E4E"/>
    <w:rsid w:val="00D205E0"/>
    <w:rsid w:val="00D20BB2"/>
    <w:rsid w:val="00D22469"/>
    <w:rsid w:val="00D22B56"/>
    <w:rsid w:val="00D239A7"/>
    <w:rsid w:val="00D23CF9"/>
    <w:rsid w:val="00D23F47"/>
    <w:rsid w:val="00D25A53"/>
    <w:rsid w:val="00D25B71"/>
    <w:rsid w:val="00D27DDE"/>
    <w:rsid w:val="00D31A5F"/>
    <w:rsid w:val="00D3338B"/>
    <w:rsid w:val="00D33FE0"/>
    <w:rsid w:val="00D34033"/>
    <w:rsid w:val="00D35195"/>
    <w:rsid w:val="00D36309"/>
    <w:rsid w:val="00D36E71"/>
    <w:rsid w:val="00D37D87"/>
    <w:rsid w:val="00D4073B"/>
    <w:rsid w:val="00D40AE3"/>
    <w:rsid w:val="00D40B33"/>
    <w:rsid w:val="00D4318F"/>
    <w:rsid w:val="00D438BF"/>
    <w:rsid w:val="00D440F8"/>
    <w:rsid w:val="00D46757"/>
    <w:rsid w:val="00D47B46"/>
    <w:rsid w:val="00D47C13"/>
    <w:rsid w:val="00D546FF"/>
    <w:rsid w:val="00D54AA7"/>
    <w:rsid w:val="00D54B16"/>
    <w:rsid w:val="00D558B7"/>
    <w:rsid w:val="00D55AD5"/>
    <w:rsid w:val="00D56F32"/>
    <w:rsid w:val="00D57636"/>
    <w:rsid w:val="00D576CA"/>
    <w:rsid w:val="00D57C7D"/>
    <w:rsid w:val="00D57CAE"/>
    <w:rsid w:val="00D609BE"/>
    <w:rsid w:val="00D61458"/>
    <w:rsid w:val="00D61AF5"/>
    <w:rsid w:val="00D6264C"/>
    <w:rsid w:val="00D62725"/>
    <w:rsid w:val="00D63449"/>
    <w:rsid w:val="00D641A6"/>
    <w:rsid w:val="00D641A9"/>
    <w:rsid w:val="00D642CA"/>
    <w:rsid w:val="00D652B5"/>
    <w:rsid w:val="00D66155"/>
    <w:rsid w:val="00D6654E"/>
    <w:rsid w:val="00D67D01"/>
    <w:rsid w:val="00D708B0"/>
    <w:rsid w:val="00D71695"/>
    <w:rsid w:val="00D718DE"/>
    <w:rsid w:val="00D71D0A"/>
    <w:rsid w:val="00D71FA0"/>
    <w:rsid w:val="00D7321B"/>
    <w:rsid w:val="00D7357E"/>
    <w:rsid w:val="00D756B6"/>
    <w:rsid w:val="00D75EA7"/>
    <w:rsid w:val="00D77B1D"/>
    <w:rsid w:val="00D8021F"/>
    <w:rsid w:val="00D80383"/>
    <w:rsid w:val="00D8102F"/>
    <w:rsid w:val="00D823C6"/>
    <w:rsid w:val="00D83594"/>
    <w:rsid w:val="00D850F1"/>
    <w:rsid w:val="00D85B2B"/>
    <w:rsid w:val="00D86CA3"/>
    <w:rsid w:val="00D871CE"/>
    <w:rsid w:val="00D8741A"/>
    <w:rsid w:val="00D9196D"/>
    <w:rsid w:val="00D92982"/>
    <w:rsid w:val="00D9433E"/>
    <w:rsid w:val="00D959E8"/>
    <w:rsid w:val="00D96FF5"/>
    <w:rsid w:val="00D971DC"/>
    <w:rsid w:val="00DA1CF0"/>
    <w:rsid w:val="00DA305E"/>
    <w:rsid w:val="00DA4E91"/>
    <w:rsid w:val="00DA503B"/>
    <w:rsid w:val="00DA5417"/>
    <w:rsid w:val="00DA56E8"/>
    <w:rsid w:val="00DA59C5"/>
    <w:rsid w:val="00DA73FE"/>
    <w:rsid w:val="00DA771B"/>
    <w:rsid w:val="00DB0A9F"/>
    <w:rsid w:val="00DB2771"/>
    <w:rsid w:val="00DB2C37"/>
    <w:rsid w:val="00DB2FC1"/>
    <w:rsid w:val="00DB33BA"/>
    <w:rsid w:val="00DB377D"/>
    <w:rsid w:val="00DB7696"/>
    <w:rsid w:val="00DC2D36"/>
    <w:rsid w:val="00DC2DC0"/>
    <w:rsid w:val="00DC3593"/>
    <w:rsid w:val="00DC53CC"/>
    <w:rsid w:val="00DC53EF"/>
    <w:rsid w:val="00DD09A8"/>
    <w:rsid w:val="00DD42D8"/>
    <w:rsid w:val="00DD67BF"/>
    <w:rsid w:val="00DE2F67"/>
    <w:rsid w:val="00DE3133"/>
    <w:rsid w:val="00DE394D"/>
    <w:rsid w:val="00DE47A5"/>
    <w:rsid w:val="00DE5608"/>
    <w:rsid w:val="00DE58D0"/>
    <w:rsid w:val="00DE654F"/>
    <w:rsid w:val="00DF0327"/>
    <w:rsid w:val="00DF0B6E"/>
    <w:rsid w:val="00DF15E0"/>
    <w:rsid w:val="00DF28E5"/>
    <w:rsid w:val="00DF30D2"/>
    <w:rsid w:val="00DF37A0"/>
    <w:rsid w:val="00DF4D0D"/>
    <w:rsid w:val="00DF4D3E"/>
    <w:rsid w:val="00DF529C"/>
    <w:rsid w:val="00DF6E1C"/>
    <w:rsid w:val="00E02C39"/>
    <w:rsid w:val="00E036EA"/>
    <w:rsid w:val="00E04EE4"/>
    <w:rsid w:val="00E110E7"/>
    <w:rsid w:val="00E11B20"/>
    <w:rsid w:val="00E122EB"/>
    <w:rsid w:val="00E125FC"/>
    <w:rsid w:val="00E148D3"/>
    <w:rsid w:val="00E1543D"/>
    <w:rsid w:val="00E154D4"/>
    <w:rsid w:val="00E17FA2"/>
    <w:rsid w:val="00E20D4E"/>
    <w:rsid w:val="00E22330"/>
    <w:rsid w:val="00E231AE"/>
    <w:rsid w:val="00E2584F"/>
    <w:rsid w:val="00E25AEF"/>
    <w:rsid w:val="00E27B7D"/>
    <w:rsid w:val="00E27DD2"/>
    <w:rsid w:val="00E30B5A"/>
    <w:rsid w:val="00E3123D"/>
    <w:rsid w:val="00E31461"/>
    <w:rsid w:val="00E31D43"/>
    <w:rsid w:val="00E32608"/>
    <w:rsid w:val="00E34188"/>
    <w:rsid w:val="00E34B6E"/>
    <w:rsid w:val="00E34C19"/>
    <w:rsid w:val="00E353C8"/>
    <w:rsid w:val="00E35559"/>
    <w:rsid w:val="00E3723A"/>
    <w:rsid w:val="00E37860"/>
    <w:rsid w:val="00E40511"/>
    <w:rsid w:val="00E44305"/>
    <w:rsid w:val="00E446F1"/>
    <w:rsid w:val="00E46886"/>
    <w:rsid w:val="00E475F2"/>
    <w:rsid w:val="00E47AEF"/>
    <w:rsid w:val="00E51519"/>
    <w:rsid w:val="00E53B75"/>
    <w:rsid w:val="00E5400A"/>
    <w:rsid w:val="00E544E8"/>
    <w:rsid w:val="00E54E3B"/>
    <w:rsid w:val="00E56109"/>
    <w:rsid w:val="00E5689D"/>
    <w:rsid w:val="00E57565"/>
    <w:rsid w:val="00E576EF"/>
    <w:rsid w:val="00E60B0C"/>
    <w:rsid w:val="00E63838"/>
    <w:rsid w:val="00E63D05"/>
    <w:rsid w:val="00E64283"/>
    <w:rsid w:val="00E64434"/>
    <w:rsid w:val="00E64B80"/>
    <w:rsid w:val="00E652A0"/>
    <w:rsid w:val="00E67C51"/>
    <w:rsid w:val="00E707F9"/>
    <w:rsid w:val="00E72284"/>
    <w:rsid w:val="00E72EFC"/>
    <w:rsid w:val="00E730F1"/>
    <w:rsid w:val="00E75143"/>
    <w:rsid w:val="00E758EC"/>
    <w:rsid w:val="00E76E65"/>
    <w:rsid w:val="00E771A1"/>
    <w:rsid w:val="00E77F4A"/>
    <w:rsid w:val="00E80B4C"/>
    <w:rsid w:val="00E82164"/>
    <w:rsid w:val="00E8216E"/>
    <w:rsid w:val="00E8234C"/>
    <w:rsid w:val="00E82723"/>
    <w:rsid w:val="00E83003"/>
    <w:rsid w:val="00E83AA9"/>
    <w:rsid w:val="00E85928"/>
    <w:rsid w:val="00E87822"/>
    <w:rsid w:val="00E90395"/>
    <w:rsid w:val="00E904FB"/>
    <w:rsid w:val="00E90812"/>
    <w:rsid w:val="00E90E49"/>
    <w:rsid w:val="00E917F9"/>
    <w:rsid w:val="00E918CB"/>
    <w:rsid w:val="00E9245B"/>
    <w:rsid w:val="00E9291C"/>
    <w:rsid w:val="00E92946"/>
    <w:rsid w:val="00E93FFE"/>
    <w:rsid w:val="00E94F8A"/>
    <w:rsid w:val="00E969F6"/>
    <w:rsid w:val="00EA10D0"/>
    <w:rsid w:val="00EA1A84"/>
    <w:rsid w:val="00EA2E4C"/>
    <w:rsid w:val="00EA3879"/>
    <w:rsid w:val="00EA3E2B"/>
    <w:rsid w:val="00EA478D"/>
    <w:rsid w:val="00EA4B16"/>
    <w:rsid w:val="00EA6119"/>
    <w:rsid w:val="00EA7839"/>
    <w:rsid w:val="00EA7A41"/>
    <w:rsid w:val="00EA7BCC"/>
    <w:rsid w:val="00EB077B"/>
    <w:rsid w:val="00EB0EBB"/>
    <w:rsid w:val="00EB1161"/>
    <w:rsid w:val="00EB168F"/>
    <w:rsid w:val="00EB1EAA"/>
    <w:rsid w:val="00EB3588"/>
    <w:rsid w:val="00EB39AA"/>
    <w:rsid w:val="00EB4D80"/>
    <w:rsid w:val="00EB4EA2"/>
    <w:rsid w:val="00EB57E4"/>
    <w:rsid w:val="00EB64AB"/>
    <w:rsid w:val="00EB670D"/>
    <w:rsid w:val="00EB6869"/>
    <w:rsid w:val="00EC27C6"/>
    <w:rsid w:val="00EC4207"/>
    <w:rsid w:val="00EC46E3"/>
    <w:rsid w:val="00EC5653"/>
    <w:rsid w:val="00EC66A1"/>
    <w:rsid w:val="00EC6F5A"/>
    <w:rsid w:val="00EC71CE"/>
    <w:rsid w:val="00EC77A7"/>
    <w:rsid w:val="00ED1006"/>
    <w:rsid w:val="00ED224F"/>
    <w:rsid w:val="00ED5E1D"/>
    <w:rsid w:val="00ED6037"/>
    <w:rsid w:val="00ED6AD6"/>
    <w:rsid w:val="00EE017F"/>
    <w:rsid w:val="00EE29E6"/>
    <w:rsid w:val="00EE59C8"/>
    <w:rsid w:val="00EF025F"/>
    <w:rsid w:val="00EF09B1"/>
    <w:rsid w:val="00EF18FE"/>
    <w:rsid w:val="00EF196F"/>
    <w:rsid w:val="00EF4780"/>
    <w:rsid w:val="00EF5787"/>
    <w:rsid w:val="00EF59B8"/>
    <w:rsid w:val="00EF60D0"/>
    <w:rsid w:val="00F00F8D"/>
    <w:rsid w:val="00F01020"/>
    <w:rsid w:val="00F010CF"/>
    <w:rsid w:val="00F02714"/>
    <w:rsid w:val="00F02FD4"/>
    <w:rsid w:val="00F045AA"/>
    <w:rsid w:val="00F0528D"/>
    <w:rsid w:val="00F060F6"/>
    <w:rsid w:val="00F06C18"/>
    <w:rsid w:val="00F06C67"/>
    <w:rsid w:val="00F06DFD"/>
    <w:rsid w:val="00F071D1"/>
    <w:rsid w:val="00F07533"/>
    <w:rsid w:val="00F10629"/>
    <w:rsid w:val="00F11345"/>
    <w:rsid w:val="00F1189E"/>
    <w:rsid w:val="00F11913"/>
    <w:rsid w:val="00F13C7E"/>
    <w:rsid w:val="00F1435C"/>
    <w:rsid w:val="00F15FA5"/>
    <w:rsid w:val="00F204A3"/>
    <w:rsid w:val="00F209B7"/>
    <w:rsid w:val="00F20C76"/>
    <w:rsid w:val="00F21268"/>
    <w:rsid w:val="00F2136A"/>
    <w:rsid w:val="00F22EF8"/>
    <w:rsid w:val="00F2376F"/>
    <w:rsid w:val="00F243D8"/>
    <w:rsid w:val="00F24C49"/>
    <w:rsid w:val="00F256C7"/>
    <w:rsid w:val="00F25B66"/>
    <w:rsid w:val="00F25DD9"/>
    <w:rsid w:val="00F26AB0"/>
    <w:rsid w:val="00F26BB4"/>
    <w:rsid w:val="00F27A0D"/>
    <w:rsid w:val="00F30403"/>
    <w:rsid w:val="00F30828"/>
    <w:rsid w:val="00F313D6"/>
    <w:rsid w:val="00F32DB8"/>
    <w:rsid w:val="00F32F2E"/>
    <w:rsid w:val="00F33B9D"/>
    <w:rsid w:val="00F34B48"/>
    <w:rsid w:val="00F35EF1"/>
    <w:rsid w:val="00F3766D"/>
    <w:rsid w:val="00F40146"/>
    <w:rsid w:val="00F4044E"/>
    <w:rsid w:val="00F40F0C"/>
    <w:rsid w:val="00F4164D"/>
    <w:rsid w:val="00F41D4D"/>
    <w:rsid w:val="00F41D9F"/>
    <w:rsid w:val="00F4766C"/>
    <w:rsid w:val="00F47B0E"/>
    <w:rsid w:val="00F5060E"/>
    <w:rsid w:val="00F507D1"/>
    <w:rsid w:val="00F519CE"/>
    <w:rsid w:val="00F51ADA"/>
    <w:rsid w:val="00F54617"/>
    <w:rsid w:val="00F57C72"/>
    <w:rsid w:val="00F607C5"/>
    <w:rsid w:val="00F60A6E"/>
    <w:rsid w:val="00F60DEA"/>
    <w:rsid w:val="00F61651"/>
    <w:rsid w:val="00F62344"/>
    <w:rsid w:val="00F6302A"/>
    <w:rsid w:val="00F63E90"/>
    <w:rsid w:val="00F64C2B"/>
    <w:rsid w:val="00F651BE"/>
    <w:rsid w:val="00F66B9F"/>
    <w:rsid w:val="00F66BCF"/>
    <w:rsid w:val="00F67D50"/>
    <w:rsid w:val="00F67F53"/>
    <w:rsid w:val="00F703BE"/>
    <w:rsid w:val="00F706CA"/>
    <w:rsid w:val="00F7108D"/>
    <w:rsid w:val="00F71F69"/>
    <w:rsid w:val="00F72960"/>
    <w:rsid w:val="00F72B72"/>
    <w:rsid w:val="00F73190"/>
    <w:rsid w:val="00F748DE"/>
    <w:rsid w:val="00F74BB9"/>
    <w:rsid w:val="00F74FDE"/>
    <w:rsid w:val="00F75582"/>
    <w:rsid w:val="00F76EFA"/>
    <w:rsid w:val="00F77D4E"/>
    <w:rsid w:val="00F804BE"/>
    <w:rsid w:val="00F80F04"/>
    <w:rsid w:val="00F813AF"/>
    <w:rsid w:val="00F817CE"/>
    <w:rsid w:val="00F821C9"/>
    <w:rsid w:val="00F82783"/>
    <w:rsid w:val="00F83179"/>
    <w:rsid w:val="00F83FEE"/>
    <w:rsid w:val="00F8456C"/>
    <w:rsid w:val="00F84BF1"/>
    <w:rsid w:val="00F859D8"/>
    <w:rsid w:val="00F861B5"/>
    <w:rsid w:val="00F868F5"/>
    <w:rsid w:val="00F9056A"/>
    <w:rsid w:val="00F90F8D"/>
    <w:rsid w:val="00F92782"/>
    <w:rsid w:val="00F93AA9"/>
    <w:rsid w:val="00F96275"/>
    <w:rsid w:val="00F96464"/>
    <w:rsid w:val="00F96985"/>
    <w:rsid w:val="00F96D7F"/>
    <w:rsid w:val="00F96DDF"/>
    <w:rsid w:val="00F97127"/>
    <w:rsid w:val="00F9755D"/>
    <w:rsid w:val="00F97838"/>
    <w:rsid w:val="00FA0532"/>
    <w:rsid w:val="00FA10CC"/>
    <w:rsid w:val="00FA2BB3"/>
    <w:rsid w:val="00FA3BB7"/>
    <w:rsid w:val="00FA6E88"/>
    <w:rsid w:val="00FA75EC"/>
    <w:rsid w:val="00FB1696"/>
    <w:rsid w:val="00FB29E7"/>
    <w:rsid w:val="00FB4C80"/>
    <w:rsid w:val="00FB6A6A"/>
    <w:rsid w:val="00FB715C"/>
    <w:rsid w:val="00FC00BA"/>
    <w:rsid w:val="00FC58B2"/>
    <w:rsid w:val="00FC7429"/>
    <w:rsid w:val="00FD07F6"/>
    <w:rsid w:val="00FD1EB7"/>
    <w:rsid w:val="00FD1EC8"/>
    <w:rsid w:val="00FD2187"/>
    <w:rsid w:val="00FD296D"/>
    <w:rsid w:val="00FD2B40"/>
    <w:rsid w:val="00FD47ED"/>
    <w:rsid w:val="00FD4907"/>
    <w:rsid w:val="00FD5337"/>
    <w:rsid w:val="00FD61F2"/>
    <w:rsid w:val="00FD631E"/>
    <w:rsid w:val="00FD6A68"/>
    <w:rsid w:val="00FD74DB"/>
    <w:rsid w:val="00FD7660"/>
    <w:rsid w:val="00FD79C0"/>
    <w:rsid w:val="00FE0599"/>
    <w:rsid w:val="00FE0655"/>
    <w:rsid w:val="00FE2365"/>
    <w:rsid w:val="00FE37D7"/>
    <w:rsid w:val="00FE3BA9"/>
    <w:rsid w:val="00FE47D5"/>
    <w:rsid w:val="00FE4C7B"/>
    <w:rsid w:val="00FE658D"/>
    <w:rsid w:val="00FE7336"/>
    <w:rsid w:val="00FE787C"/>
    <w:rsid w:val="00FF1570"/>
    <w:rsid w:val="00FF185F"/>
    <w:rsid w:val="00FF2B36"/>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436E15C"/>
  <w15:docId w15:val="{F619B5B5-275B-4872-9ADF-3C99689A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1F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3871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71F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FD61F2"/>
    <w:pPr>
      <w:spacing w:after="0" w:line="240" w:lineRule="auto"/>
    </w:pPr>
    <w:rPr>
      <w:rFonts w:ascii="Times New Roman" w:eastAsiaTheme="minorEastAsia" w:hAnsi="Times New Roman"/>
      <w:lang w:eastAsia="en-GB"/>
    </w:rPr>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link w:val="B3Char"/>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left" w:pos="1701"/>
      </w:tabs>
      <w:ind w:left="1701" w:hanging="1701"/>
    </w:pPr>
    <w:rPr>
      <w:b/>
      <w:bCs/>
    </w:rPr>
  </w:style>
  <w:style w:type="character" w:customStyle="1" w:styleId="BodyTextChar">
    <w:name w:val="Body Text Char"/>
    <w:link w:val="BodyText"/>
    <w:rsid w:val="00FD61F2"/>
    <w:rPr>
      <w:rFonts w:ascii="Times New Roman" w:eastAsiaTheme="minorEastAsia" w:hAnsi="Times New Roman" w:cstheme="minorBidi"/>
      <w:sz w:val="22"/>
      <w:szCs w:val="22"/>
      <w:lang w:val="sv-SE" w:eastAsia="en-GB"/>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heme="minorEastAsia" w:hAnsi="Times New Roman"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eastAsiaTheme="minorEastAsia" w:hAnsi="Arial" w:cstheme="minorBidi"/>
      <w:spacing w:val="2"/>
      <w:sz w:val="22"/>
      <w:szCs w:val="2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paragraph">
    <w:name w:val="paragraph"/>
    <w:basedOn w:val="Normal"/>
    <w:rsid w:val="00AE1E13"/>
    <w:pPr>
      <w:spacing w:before="100" w:beforeAutospacing="1" w:after="100" w:afterAutospacing="1"/>
    </w:pPr>
    <w:rPr>
      <w:sz w:val="24"/>
      <w:szCs w:val="24"/>
    </w:rPr>
  </w:style>
  <w:style w:type="character" w:customStyle="1" w:styleId="normaltextrun">
    <w:name w:val="normaltextrun"/>
    <w:basedOn w:val="DefaultParagraphFont"/>
    <w:rsid w:val="00AE1E13"/>
  </w:style>
  <w:style w:type="character" w:customStyle="1" w:styleId="eop">
    <w:name w:val="eop"/>
    <w:basedOn w:val="DefaultParagraphFont"/>
    <w:rsid w:val="00AE1E13"/>
  </w:style>
  <w:style w:type="character" w:customStyle="1" w:styleId="spellingerror">
    <w:name w:val="spellingerror"/>
    <w:basedOn w:val="DefaultParagraphFont"/>
    <w:rsid w:val="00AE1E13"/>
  </w:style>
  <w:style w:type="table" w:customStyle="1" w:styleId="Style1">
    <w:name w:val="Style1"/>
    <w:basedOn w:val="ColorfulList-Accent5"/>
    <w:uiPriority w:val="99"/>
    <w:rsid w:val="00AE1E13"/>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Table7Colorful-Accent3">
    <w:name w:val="List Table 7 Colorful Accent 3"/>
    <w:basedOn w:val="TableNormal"/>
    <w:uiPriority w:val="52"/>
    <w:rsid w:val="00AE1E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Accent5">
    <w:name w:val="Colorful List Accent 5"/>
    <w:basedOn w:val="TableNormal"/>
    <w:uiPriority w:val="72"/>
    <w:semiHidden/>
    <w:unhideWhenUsed/>
    <w:rsid w:val="00AE1E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AE1E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NormalWeb">
    <w:name w:val="Normal (Web)"/>
    <w:basedOn w:val="Normal"/>
    <w:uiPriority w:val="99"/>
    <w:semiHidden/>
    <w:unhideWhenUsed/>
    <w:rsid w:val="003D3231"/>
    <w:pPr>
      <w:spacing w:before="100" w:beforeAutospacing="1" w:after="100" w:afterAutospacing="1"/>
    </w:pPr>
    <w:rPr>
      <w:rFonts w:ascii="Times New Roman" w:hAnsi="Times New Roman" w:cs="Times New Roman"/>
      <w:sz w:val="24"/>
      <w:szCs w:val="24"/>
    </w:rPr>
  </w:style>
  <w:style w:type="character" w:customStyle="1" w:styleId="B3Char">
    <w:name w:val="B3 Char"/>
    <w:link w:val="B3"/>
    <w:rsid w:val="00A3790F"/>
    <w:rPr>
      <w:rFonts w:asciiTheme="minorHAnsi" w:eastAsiaTheme="minorHAnsi" w:hAnsiTheme="minorHAnsi" w:cstheme="minorBidi"/>
      <w:sz w:val="22"/>
      <w:szCs w:val="22"/>
      <w:lang w:val="sv-SE"/>
    </w:rPr>
  </w:style>
  <w:style w:type="table" w:styleId="PlainTable5">
    <w:name w:val="Plain Table 5"/>
    <w:basedOn w:val="TableNormal"/>
    <w:uiPriority w:val="45"/>
    <w:rsid w:val="00CD5C0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CD5C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84367604">
      <w:bodyDiv w:val="1"/>
      <w:marLeft w:val="0"/>
      <w:marRight w:val="0"/>
      <w:marTop w:val="0"/>
      <w:marBottom w:val="0"/>
      <w:divBdr>
        <w:top w:val="none" w:sz="0" w:space="0" w:color="auto"/>
        <w:left w:val="none" w:sz="0" w:space="0" w:color="auto"/>
        <w:bottom w:val="none" w:sz="0" w:space="0" w:color="auto"/>
        <w:right w:val="none" w:sz="0" w:space="0" w:color="auto"/>
      </w:divBdr>
      <w:divsChild>
        <w:div w:id="1884250893">
          <w:marLeft w:val="0"/>
          <w:marRight w:val="0"/>
          <w:marTop w:val="0"/>
          <w:marBottom w:val="0"/>
          <w:divBdr>
            <w:top w:val="none" w:sz="0" w:space="0" w:color="auto"/>
            <w:left w:val="none" w:sz="0" w:space="0" w:color="auto"/>
            <w:bottom w:val="none" w:sz="0" w:space="0" w:color="auto"/>
            <w:right w:val="none" w:sz="0" w:space="0" w:color="auto"/>
          </w:divBdr>
        </w:div>
      </w:divsChild>
    </w:div>
    <w:div w:id="239487622">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0066898">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943541197">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05837601">
      <w:bodyDiv w:val="1"/>
      <w:marLeft w:val="0"/>
      <w:marRight w:val="0"/>
      <w:marTop w:val="0"/>
      <w:marBottom w:val="0"/>
      <w:divBdr>
        <w:top w:val="none" w:sz="0" w:space="0" w:color="auto"/>
        <w:left w:val="none" w:sz="0" w:space="0" w:color="auto"/>
        <w:bottom w:val="none" w:sz="0" w:space="0" w:color="auto"/>
        <w:right w:val="none" w:sz="0" w:space="0" w:color="auto"/>
      </w:divBdr>
      <w:divsChild>
        <w:div w:id="1582179953">
          <w:marLeft w:val="0"/>
          <w:marRight w:val="0"/>
          <w:marTop w:val="0"/>
          <w:marBottom w:val="0"/>
          <w:divBdr>
            <w:top w:val="none" w:sz="0" w:space="0" w:color="auto"/>
            <w:left w:val="none" w:sz="0" w:space="0" w:color="auto"/>
            <w:bottom w:val="none" w:sz="0" w:space="0" w:color="auto"/>
            <w:right w:val="none" w:sz="0" w:space="0" w:color="auto"/>
          </w:divBdr>
          <w:divsChild>
            <w:div w:id="484858702">
              <w:marLeft w:val="0"/>
              <w:marRight w:val="0"/>
              <w:marTop w:val="0"/>
              <w:marBottom w:val="0"/>
              <w:divBdr>
                <w:top w:val="none" w:sz="0" w:space="0" w:color="auto"/>
                <w:left w:val="none" w:sz="0" w:space="0" w:color="auto"/>
                <w:bottom w:val="none" w:sz="0" w:space="0" w:color="auto"/>
                <w:right w:val="none" w:sz="0" w:space="0" w:color="auto"/>
              </w:divBdr>
              <w:divsChild>
                <w:div w:id="1789199578">
                  <w:marLeft w:val="0"/>
                  <w:marRight w:val="0"/>
                  <w:marTop w:val="0"/>
                  <w:marBottom w:val="0"/>
                  <w:divBdr>
                    <w:top w:val="none" w:sz="0" w:space="0" w:color="auto"/>
                    <w:left w:val="none" w:sz="0" w:space="0" w:color="auto"/>
                    <w:bottom w:val="none" w:sz="0" w:space="0" w:color="auto"/>
                    <w:right w:val="none" w:sz="0" w:space="0" w:color="auto"/>
                  </w:divBdr>
                </w:div>
              </w:divsChild>
            </w:div>
            <w:div w:id="412899274">
              <w:marLeft w:val="0"/>
              <w:marRight w:val="0"/>
              <w:marTop w:val="0"/>
              <w:marBottom w:val="0"/>
              <w:divBdr>
                <w:top w:val="none" w:sz="0" w:space="0" w:color="auto"/>
                <w:left w:val="none" w:sz="0" w:space="0" w:color="auto"/>
                <w:bottom w:val="none" w:sz="0" w:space="0" w:color="auto"/>
                <w:right w:val="none" w:sz="0" w:space="0" w:color="auto"/>
              </w:divBdr>
              <w:divsChild>
                <w:div w:id="1741319396">
                  <w:marLeft w:val="0"/>
                  <w:marRight w:val="0"/>
                  <w:marTop w:val="0"/>
                  <w:marBottom w:val="0"/>
                  <w:divBdr>
                    <w:top w:val="none" w:sz="0" w:space="0" w:color="auto"/>
                    <w:left w:val="none" w:sz="0" w:space="0" w:color="auto"/>
                    <w:bottom w:val="none" w:sz="0" w:space="0" w:color="auto"/>
                    <w:right w:val="none" w:sz="0" w:space="0" w:color="auto"/>
                  </w:divBdr>
                </w:div>
              </w:divsChild>
            </w:div>
            <w:div w:id="756679947">
              <w:marLeft w:val="0"/>
              <w:marRight w:val="0"/>
              <w:marTop w:val="0"/>
              <w:marBottom w:val="0"/>
              <w:divBdr>
                <w:top w:val="none" w:sz="0" w:space="0" w:color="auto"/>
                <w:left w:val="none" w:sz="0" w:space="0" w:color="auto"/>
                <w:bottom w:val="none" w:sz="0" w:space="0" w:color="auto"/>
                <w:right w:val="none" w:sz="0" w:space="0" w:color="auto"/>
              </w:divBdr>
              <w:divsChild>
                <w:div w:id="276718066">
                  <w:marLeft w:val="0"/>
                  <w:marRight w:val="0"/>
                  <w:marTop w:val="0"/>
                  <w:marBottom w:val="0"/>
                  <w:divBdr>
                    <w:top w:val="none" w:sz="0" w:space="0" w:color="auto"/>
                    <w:left w:val="none" w:sz="0" w:space="0" w:color="auto"/>
                    <w:bottom w:val="none" w:sz="0" w:space="0" w:color="auto"/>
                    <w:right w:val="none" w:sz="0" w:space="0" w:color="auto"/>
                  </w:divBdr>
                </w:div>
              </w:divsChild>
            </w:div>
            <w:div w:id="1394111785">
              <w:marLeft w:val="0"/>
              <w:marRight w:val="0"/>
              <w:marTop w:val="0"/>
              <w:marBottom w:val="0"/>
              <w:divBdr>
                <w:top w:val="none" w:sz="0" w:space="0" w:color="auto"/>
                <w:left w:val="none" w:sz="0" w:space="0" w:color="auto"/>
                <w:bottom w:val="none" w:sz="0" w:space="0" w:color="auto"/>
                <w:right w:val="none" w:sz="0" w:space="0" w:color="auto"/>
              </w:divBdr>
              <w:divsChild>
                <w:div w:id="1862816392">
                  <w:marLeft w:val="0"/>
                  <w:marRight w:val="0"/>
                  <w:marTop w:val="0"/>
                  <w:marBottom w:val="0"/>
                  <w:divBdr>
                    <w:top w:val="none" w:sz="0" w:space="0" w:color="auto"/>
                    <w:left w:val="none" w:sz="0" w:space="0" w:color="auto"/>
                    <w:bottom w:val="none" w:sz="0" w:space="0" w:color="auto"/>
                    <w:right w:val="none" w:sz="0" w:space="0" w:color="auto"/>
                  </w:divBdr>
                </w:div>
              </w:divsChild>
            </w:div>
            <w:div w:id="1032993319">
              <w:marLeft w:val="0"/>
              <w:marRight w:val="0"/>
              <w:marTop w:val="0"/>
              <w:marBottom w:val="0"/>
              <w:divBdr>
                <w:top w:val="none" w:sz="0" w:space="0" w:color="auto"/>
                <w:left w:val="none" w:sz="0" w:space="0" w:color="auto"/>
                <w:bottom w:val="none" w:sz="0" w:space="0" w:color="auto"/>
                <w:right w:val="none" w:sz="0" w:space="0" w:color="auto"/>
              </w:divBdr>
              <w:divsChild>
                <w:div w:id="1463230614">
                  <w:marLeft w:val="0"/>
                  <w:marRight w:val="0"/>
                  <w:marTop w:val="0"/>
                  <w:marBottom w:val="0"/>
                  <w:divBdr>
                    <w:top w:val="none" w:sz="0" w:space="0" w:color="auto"/>
                    <w:left w:val="none" w:sz="0" w:space="0" w:color="auto"/>
                    <w:bottom w:val="none" w:sz="0" w:space="0" w:color="auto"/>
                    <w:right w:val="none" w:sz="0" w:space="0" w:color="auto"/>
                  </w:divBdr>
                </w:div>
              </w:divsChild>
            </w:div>
            <w:div w:id="615645637">
              <w:marLeft w:val="0"/>
              <w:marRight w:val="0"/>
              <w:marTop w:val="0"/>
              <w:marBottom w:val="0"/>
              <w:divBdr>
                <w:top w:val="none" w:sz="0" w:space="0" w:color="auto"/>
                <w:left w:val="none" w:sz="0" w:space="0" w:color="auto"/>
                <w:bottom w:val="none" w:sz="0" w:space="0" w:color="auto"/>
                <w:right w:val="none" w:sz="0" w:space="0" w:color="auto"/>
              </w:divBdr>
              <w:divsChild>
                <w:div w:id="325590499">
                  <w:marLeft w:val="0"/>
                  <w:marRight w:val="0"/>
                  <w:marTop w:val="0"/>
                  <w:marBottom w:val="0"/>
                  <w:divBdr>
                    <w:top w:val="none" w:sz="0" w:space="0" w:color="auto"/>
                    <w:left w:val="none" w:sz="0" w:space="0" w:color="auto"/>
                    <w:bottom w:val="none" w:sz="0" w:space="0" w:color="auto"/>
                    <w:right w:val="none" w:sz="0" w:space="0" w:color="auto"/>
                  </w:divBdr>
                </w:div>
              </w:divsChild>
            </w:div>
            <w:div w:id="1750154945">
              <w:marLeft w:val="0"/>
              <w:marRight w:val="0"/>
              <w:marTop w:val="0"/>
              <w:marBottom w:val="0"/>
              <w:divBdr>
                <w:top w:val="none" w:sz="0" w:space="0" w:color="auto"/>
                <w:left w:val="none" w:sz="0" w:space="0" w:color="auto"/>
                <w:bottom w:val="none" w:sz="0" w:space="0" w:color="auto"/>
                <w:right w:val="none" w:sz="0" w:space="0" w:color="auto"/>
              </w:divBdr>
              <w:divsChild>
                <w:div w:id="1495604322">
                  <w:marLeft w:val="0"/>
                  <w:marRight w:val="0"/>
                  <w:marTop w:val="0"/>
                  <w:marBottom w:val="0"/>
                  <w:divBdr>
                    <w:top w:val="none" w:sz="0" w:space="0" w:color="auto"/>
                    <w:left w:val="none" w:sz="0" w:space="0" w:color="auto"/>
                    <w:bottom w:val="none" w:sz="0" w:space="0" w:color="auto"/>
                    <w:right w:val="none" w:sz="0" w:space="0" w:color="auto"/>
                  </w:divBdr>
                </w:div>
              </w:divsChild>
            </w:div>
            <w:div w:id="1757164587">
              <w:marLeft w:val="0"/>
              <w:marRight w:val="0"/>
              <w:marTop w:val="0"/>
              <w:marBottom w:val="0"/>
              <w:divBdr>
                <w:top w:val="none" w:sz="0" w:space="0" w:color="auto"/>
                <w:left w:val="none" w:sz="0" w:space="0" w:color="auto"/>
                <w:bottom w:val="none" w:sz="0" w:space="0" w:color="auto"/>
                <w:right w:val="none" w:sz="0" w:space="0" w:color="auto"/>
              </w:divBdr>
              <w:divsChild>
                <w:div w:id="49501125">
                  <w:marLeft w:val="0"/>
                  <w:marRight w:val="0"/>
                  <w:marTop w:val="0"/>
                  <w:marBottom w:val="0"/>
                  <w:divBdr>
                    <w:top w:val="none" w:sz="0" w:space="0" w:color="auto"/>
                    <w:left w:val="none" w:sz="0" w:space="0" w:color="auto"/>
                    <w:bottom w:val="none" w:sz="0" w:space="0" w:color="auto"/>
                    <w:right w:val="none" w:sz="0" w:space="0" w:color="auto"/>
                  </w:divBdr>
                </w:div>
                <w:div w:id="1311516694">
                  <w:marLeft w:val="0"/>
                  <w:marRight w:val="0"/>
                  <w:marTop w:val="0"/>
                  <w:marBottom w:val="0"/>
                  <w:divBdr>
                    <w:top w:val="none" w:sz="0" w:space="0" w:color="auto"/>
                    <w:left w:val="none" w:sz="0" w:space="0" w:color="auto"/>
                    <w:bottom w:val="none" w:sz="0" w:space="0" w:color="auto"/>
                    <w:right w:val="none" w:sz="0" w:space="0" w:color="auto"/>
                  </w:divBdr>
                </w:div>
              </w:divsChild>
            </w:div>
            <w:div w:id="1451582325">
              <w:marLeft w:val="0"/>
              <w:marRight w:val="0"/>
              <w:marTop w:val="0"/>
              <w:marBottom w:val="0"/>
              <w:divBdr>
                <w:top w:val="none" w:sz="0" w:space="0" w:color="auto"/>
                <w:left w:val="none" w:sz="0" w:space="0" w:color="auto"/>
                <w:bottom w:val="none" w:sz="0" w:space="0" w:color="auto"/>
                <w:right w:val="none" w:sz="0" w:space="0" w:color="auto"/>
              </w:divBdr>
              <w:divsChild>
                <w:div w:id="1931305409">
                  <w:marLeft w:val="0"/>
                  <w:marRight w:val="0"/>
                  <w:marTop w:val="0"/>
                  <w:marBottom w:val="0"/>
                  <w:divBdr>
                    <w:top w:val="none" w:sz="0" w:space="0" w:color="auto"/>
                    <w:left w:val="none" w:sz="0" w:space="0" w:color="auto"/>
                    <w:bottom w:val="none" w:sz="0" w:space="0" w:color="auto"/>
                    <w:right w:val="none" w:sz="0" w:space="0" w:color="auto"/>
                  </w:divBdr>
                </w:div>
              </w:divsChild>
            </w:div>
            <w:div w:id="388917501">
              <w:marLeft w:val="0"/>
              <w:marRight w:val="0"/>
              <w:marTop w:val="0"/>
              <w:marBottom w:val="0"/>
              <w:divBdr>
                <w:top w:val="none" w:sz="0" w:space="0" w:color="auto"/>
                <w:left w:val="none" w:sz="0" w:space="0" w:color="auto"/>
                <w:bottom w:val="none" w:sz="0" w:space="0" w:color="auto"/>
                <w:right w:val="none" w:sz="0" w:space="0" w:color="auto"/>
              </w:divBdr>
              <w:divsChild>
                <w:div w:id="379285863">
                  <w:marLeft w:val="0"/>
                  <w:marRight w:val="0"/>
                  <w:marTop w:val="0"/>
                  <w:marBottom w:val="0"/>
                  <w:divBdr>
                    <w:top w:val="none" w:sz="0" w:space="0" w:color="auto"/>
                    <w:left w:val="none" w:sz="0" w:space="0" w:color="auto"/>
                    <w:bottom w:val="none" w:sz="0" w:space="0" w:color="auto"/>
                    <w:right w:val="none" w:sz="0" w:space="0" w:color="auto"/>
                  </w:divBdr>
                </w:div>
              </w:divsChild>
            </w:div>
            <w:div w:id="653798456">
              <w:marLeft w:val="0"/>
              <w:marRight w:val="0"/>
              <w:marTop w:val="0"/>
              <w:marBottom w:val="0"/>
              <w:divBdr>
                <w:top w:val="none" w:sz="0" w:space="0" w:color="auto"/>
                <w:left w:val="none" w:sz="0" w:space="0" w:color="auto"/>
                <w:bottom w:val="none" w:sz="0" w:space="0" w:color="auto"/>
                <w:right w:val="none" w:sz="0" w:space="0" w:color="auto"/>
              </w:divBdr>
              <w:divsChild>
                <w:div w:id="1417748964">
                  <w:marLeft w:val="0"/>
                  <w:marRight w:val="0"/>
                  <w:marTop w:val="0"/>
                  <w:marBottom w:val="0"/>
                  <w:divBdr>
                    <w:top w:val="none" w:sz="0" w:space="0" w:color="auto"/>
                    <w:left w:val="none" w:sz="0" w:space="0" w:color="auto"/>
                    <w:bottom w:val="none" w:sz="0" w:space="0" w:color="auto"/>
                    <w:right w:val="none" w:sz="0" w:space="0" w:color="auto"/>
                  </w:divBdr>
                </w:div>
              </w:divsChild>
            </w:div>
            <w:div w:id="1642692456">
              <w:marLeft w:val="0"/>
              <w:marRight w:val="0"/>
              <w:marTop w:val="0"/>
              <w:marBottom w:val="0"/>
              <w:divBdr>
                <w:top w:val="none" w:sz="0" w:space="0" w:color="auto"/>
                <w:left w:val="none" w:sz="0" w:space="0" w:color="auto"/>
                <w:bottom w:val="none" w:sz="0" w:space="0" w:color="auto"/>
                <w:right w:val="none" w:sz="0" w:space="0" w:color="auto"/>
              </w:divBdr>
              <w:divsChild>
                <w:div w:id="2132092947">
                  <w:marLeft w:val="0"/>
                  <w:marRight w:val="0"/>
                  <w:marTop w:val="0"/>
                  <w:marBottom w:val="0"/>
                  <w:divBdr>
                    <w:top w:val="none" w:sz="0" w:space="0" w:color="auto"/>
                    <w:left w:val="none" w:sz="0" w:space="0" w:color="auto"/>
                    <w:bottom w:val="none" w:sz="0" w:space="0" w:color="auto"/>
                    <w:right w:val="none" w:sz="0" w:space="0" w:color="auto"/>
                  </w:divBdr>
                </w:div>
              </w:divsChild>
            </w:div>
            <w:div w:id="65693099">
              <w:marLeft w:val="0"/>
              <w:marRight w:val="0"/>
              <w:marTop w:val="0"/>
              <w:marBottom w:val="0"/>
              <w:divBdr>
                <w:top w:val="none" w:sz="0" w:space="0" w:color="auto"/>
                <w:left w:val="none" w:sz="0" w:space="0" w:color="auto"/>
                <w:bottom w:val="none" w:sz="0" w:space="0" w:color="auto"/>
                <w:right w:val="none" w:sz="0" w:space="0" w:color="auto"/>
              </w:divBdr>
              <w:divsChild>
                <w:div w:id="1948385840">
                  <w:marLeft w:val="0"/>
                  <w:marRight w:val="0"/>
                  <w:marTop w:val="0"/>
                  <w:marBottom w:val="0"/>
                  <w:divBdr>
                    <w:top w:val="none" w:sz="0" w:space="0" w:color="auto"/>
                    <w:left w:val="none" w:sz="0" w:space="0" w:color="auto"/>
                    <w:bottom w:val="none" w:sz="0" w:space="0" w:color="auto"/>
                    <w:right w:val="none" w:sz="0" w:space="0" w:color="auto"/>
                  </w:divBdr>
                </w:div>
              </w:divsChild>
            </w:div>
            <w:div w:id="1544562452">
              <w:marLeft w:val="0"/>
              <w:marRight w:val="0"/>
              <w:marTop w:val="0"/>
              <w:marBottom w:val="0"/>
              <w:divBdr>
                <w:top w:val="none" w:sz="0" w:space="0" w:color="auto"/>
                <w:left w:val="none" w:sz="0" w:space="0" w:color="auto"/>
                <w:bottom w:val="none" w:sz="0" w:space="0" w:color="auto"/>
                <w:right w:val="none" w:sz="0" w:space="0" w:color="auto"/>
              </w:divBdr>
              <w:divsChild>
                <w:div w:id="1806197212">
                  <w:marLeft w:val="0"/>
                  <w:marRight w:val="0"/>
                  <w:marTop w:val="0"/>
                  <w:marBottom w:val="0"/>
                  <w:divBdr>
                    <w:top w:val="none" w:sz="0" w:space="0" w:color="auto"/>
                    <w:left w:val="none" w:sz="0" w:space="0" w:color="auto"/>
                    <w:bottom w:val="none" w:sz="0" w:space="0" w:color="auto"/>
                    <w:right w:val="none" w:sz="0" w:space="0" w:color="auto"/>
                  </w:divBdr>
                </w:div>
              </w:divsChild>
            </w:div>
            <w:div w:id="1518078107">
              <w:marLeft w:val="0"/>
              <w:marRight w:val="0"/>
              <w:marTop w:val="0"/>
              <w:marBottom w:val="0"/>
              <w:divBdr>
                <w:top w:val="none" w:sz="0" w:space="0" w:color="auto"/>
                <w:left w:val="none" w:sz="0" w:space="0" w:color="auto"/>
                <w:bottom w:val="none" w:sz="0" w:space="0" w:color="auto"/>
                <w:right w:val="none" w:sz="0" w:space="0" w:color="auto"/>
              </w:divBdr>
              <w:divsChild>
                <w:div w:id="1187519275">
                  <w:marLeft w:val="0"/>
                  <w:marRight w:val="0"/>
                  <w:marTop w:val="0"/>
                  <w:marBottom w:val="0"/>
                  <w:divBdr>
                    <w:top w:val="none" w:sz="0" w:space="0" w:color="auto"/>
                    <w:left w:val="none" w:sz="0" w:space="0" w:color="auto"/>
                    <w:bottom w:val="none" w:sz="0" w:space="0" w:color="auto"/>
                    <w:right w:val="none" w:sz="0" w:space="0" w:color="auto"/>
                  </w:divBdr>
                </w:div>
              </w:divsChild>
            </w:div>
            <w:div w:id="97676224">
              <w:marLeft w:val="0"/>
              <w:marRight w:val="0"/>
              <w:marTop w:val="0"/>
              <w:marBottom w:val="0"/>
              <w:divBdr>
                <w:top w:val="none" w:sz="0" w:space="0" w:color="auto"/>
                <w:left w:val="none" w:sz="0" w:space="0" w:color="auto"/>
                <w:bottom w:val="none" w:sz="0" w:space="0" w:color="auto"/>
                <w:right w:val="none" w:sz="0" w:space="0" w:color="auto"/>
              </w:divBdr>
              <w:divsChild>
                <w:div w:id="439298488">
                  <w:marLeft w:val="0"/>
                  <w:marRight w:val="0"/>
                  <w:marTop w:val="0"/>
                  <w:marBottom w:val="0"/>
                  <w:divBdr>
                    <w:top w:val="none" w:sz="0" w:space="0" w:color="auto"/>
                    <w:left w:val="none" w:sz="0" w:space="0" w:color="auto"/>
                    <w:bottom w:val="none" w:sz="0" w:space="0" w:color="auto"/>
                    <w:right w:val="none" w:sz="0" w:space="0" w:color="auto"/>
                  </w:divBdr>
                </w:div>
              </w:divsChild>
            </w:div>
            <w:div w:id="1163543664">
              <w:marLeft w:val="0"/>
              <w:marRight w:val="0"/>
              <w:marTop w:val="0"/>
              <w:marBottom w:val="0"/>
              <w:divBdr>
                <w:top w:val="none" w:sz="0" w:space="0" w:color="auto"/>
                <w:left w:val="none" w:sz="0" w:space="0" w:color="auto"/>
                <w:bottom w:val="none" w:sz="0" w:space="0" w:color="auto"/>
                <w:right w:val="none" w:sz="0" w:space="0" w:color="auto"/>
              </w:divBdr>
              <w:divsChild>
                <w:div w:id="1189947433">
                  <w:marLeft w:val="0"/>
                  <w:marRight w:val="0"/>
                  <w:marTop w:val="0"/>
                  <w:marBottom w:val="0"/>
                  <w:divBdr>
                    <w:top w:val="none" w:sz="0" w:space="0" w:color="auto"/>
                    <w:left w:val="none" w:sz="0" w:space="0" w:color="auto"/>
                    <w:bottom w:val="none" w:sz="0" w:space="0" w:color="auto"/>
                    <w:right w:val="none" w:sz="0" w:space="0" w:color="auto"/>
                  </w:divBdr>
                </w:div>
              </w:divsChild>
            </w:div>
            <w:div w:id="1081871777">
              <w:marLeft w:val="0"/>
              <w:marRight w:val="0"/>
              <w:marTop w:val="0"/>
              <w:marBottom w:val="0"/>
              <w:divBdr>
                <w:top w:val="none" w:sz="0" w:space="0" w:color="auto"/>
                <w:left w:val="none" w:sz="0" w:space="0" w:color="auto"/>
                <w:bottom w:val="none" w:sz="0" w:space="0" w:color="auto"/>
                <w:right w:val="none" w:sz="0" w:space="0" w:color="auto"/>
              </w:divBdr>
            </w:div>
            <w:div w:id="847212169">
              <w:marLeft w:val="0"/>
              <w:marRight w:val="0"/>
              <w:marTop w:val="0"/>
              <w:marBottom w:val="0"/>
              <w:divBdr>
                <w:top w:val="none" w:sz="0" w:space="0" w:color="auto"/>
                <w:left w:val="none" w:sz="0" w:space="0" w:color="auto"/>
                <w:bottom w:val="none" w:sz="0" w:space="0" w:color="auto"/>
                <w:right w:val="none" w:sz="0" w:space="0" w:color="auto"/>
              </w:divBdr>
              <w:divsChild>
                <w:div w:id="1991864372">
                  <w:marLeft w:val="0"/>
                  <w:marRight w:val="0"/>
                  <w:marTop w:val="0"/>
                  <w:marBottom w:val="0"/>
                  <w:divBdr>
                    <w:top w:val="none" w:sz="0" w:space="0" w:color="auto"/>
                    <w:left w:val="none" w:sz="0" w:space="0" w:color="auto"/>
                    <w:bottom w:val="none" w:sz="0" w:space="0" w:color="auto"/>
                    <w:right w:val="none" w:sz="0" w:space="0" w:color="auto"/>
                  </w:divBdr>
                </w:div>
              </w:divsChild>
            </w:div>
            <w:div w:id="452987143">
              <w:marLeft w:val="0"/>
              <w:marRight w:val="0"/>
              <w:marTop w:val="0"/>
              <w:marBottom w:val="0"/>
              <w:divBdr>
                <w:top w:val="none" w:sz="0" w:space="0" w:color="auto"/>
                <w:left w:val="none" w:sz="0" w:space="0" w:color="auto"/>
                <w:bottom w:val="none" w:sz="0" w:space="0" w:color="auto"/>
                <w:right w:val="none" w:sz="0" w:space="0" w:color="auto"/>
              </w:divBdr>
            </w:div>
            <w:div w:id="287247441">
              <w:marLeft w:val="0"/>
              <w:marRight w:val="0"/>
              <w:marTop w:val="0"/>
              <w:marBottom w:val="0"/>
              <w:divBdr>
                <w:top w:val="none" w:sz="0" w:space="0" w:color="auto"/>
                <w:left w:val="none" w:sz="0" w:space="0" w:color="auto"/>
                <w:bottom w:val="none" w:sz="0" w:space="0" w:color="auto"/>
                <w:right w:val="none" w:sz="0" w:space="0" w:color="auto"/>
              </w:divBdr>
              <w:divsChild>
                <w:div w:id="1407730423">
                  <w:marLeft w:val="0"/>
                  <w:marRight w:val="0"/>
                  <w:marTop w:val="0"/>
                  <w:marBottom w:val="0"/>
                  <w:divBdr>
                    <w:top w:val="none" w:sz="0" w:space="0" w:color="auto"/>
                    <w:left w:val="none" w:sz="0" w:space="0" w:color="auto"/>
                    <w:bottom w:val="none" w:sz="0" w:space="0" w:color="auto"/>
                    <w:right w:val="none" w:sz="0" w:space="0" w:color="auto"/>
                  </w:divBdr>
                </w:div>
              </w:divsChild>
            </w:div>
            <w:div w:id="553274812">
              <w:marLeft w:val="0"/>
              <w:marRight w:val="0"/>
              <w:marTop w:val="0"/>
              <w:marBottom w:val="0"/>
              <w:divBdr>
                <w:top w:val="none" w:sz="0" w:space="0" w:color="auto"/>
                <w:left w:val="none" w:sz="0" w:space="0" w:color="auto"/>
                <w:bottom w:val="none" w:sz="0" w:space="0" w:color="auto"/>
                <w:right w:val="none" w:sz="0" w:space="0" w:color="auto"/>
              </w:divBdr>
            </w:div>
            <w:div w:id="291332763">
              <w:marLeft w:val="0"/>
              <w:marRight w:val="0"/>
              <w:marTop w:val="0"/>
              <w:marBottom w:val="0"/>
              <w:divBdr>
                <w:top w:val="none" w:sz="0" w:space="0" w:color="auto"/>
                <w:left w:val="none" w:sz="0" w:space="0" w:color="auto"/>
                <w:bottom w:val="none" w:sz="0" w:space="0" w:color="auto"/>
                <w:right w:val="none" w:sz="0" w:space="0" w:color="auto"/>
              </w:divBdr>
              <w:divsChild>
                <w:div w:id="1358197742">
                  <w:marLeft w:val="0"/>
                  <w:marRight w:val="0"/>
                  <w:marTop w:val="0"/>
                  <w:marBottom w:val="0"/>
                  <w:divBdr>
                    <w:top w:val="none" w:sz="0" w:space="0" w:color="auto"/>
                    <w:left w:val="none" w:sz="0" w:space="0" w:color="auto"/>
                    <w:bottom w:val="none" w:sz="0" w:space="0" w:color="auto"/>
                    <w:right w:val="none" w:sz="0" w:space="0" w:color="auto"/>
                  </w:divBdr>
                </w:div>
              </w:divsChild>
            </w:div>
            <w:div w:id="1239680415">
              <w:marLeft w:val="0"/>
              <w:marRight w:val="0"/>
              <w:marTop w:val="0"/>
              <w:marBottom w:val="0"/>
              <w:divBdr>
                <w:top w:val="none" w:sz="0" w:space="0" w:color="auto"/>
                <w:left w:val="none" w:sz="0" w:space="0" w:color="auto"/>
                <w:bottom w:val="none" w:sz="0" w:space="0" w:color="auto"/>
                <w:right w:val="none" w:sz="0" w:space="0" w:color="auto"/>
              </w:divBdr>
            </w:div>
            <w:div w:id="4981844">
              <w:marLeft w:val="0"/>
              <w:marRight w:val="0"/>
              <w:marTop w:val="0"/>
              <w:marBottom w:val="0"/>
              <w:divBdr>
                <w:top w:val="none" w:sz="0" w:space="0" w:color="auto"/>
                <w:left w:val="none" w:sz="0" w:space="0" w:color="auto"/>
                <w:bottom w:val="none" w:sz="0" w:space="0" w:color="auto"/>
                <w:right w:val="none" w:sz="0" w:space="0" w:color="auto"/>
              </w:divBdr>
              <w:divsChild>
                <w:div w:id="991720229">
                  <w:marLeft w:val="0"/>
                  <w:marRight w:val="0"/>
                  <w:marTop w:val="0"/>
                  <w:marBottom w:val="0"/>
                  <w:divBdr>
                    <w:top w:val="none" w:sz="0" w:space="0" w:color="auto"/>
                    <w:left w:val="none" w:sz="0" w:space="0" w:color="auto"/>
                    <w:bottom w:val="none" w:sz="0" w:space="0" w:color="auto"/>
                    <w:right w:val="none" w:sz="0" w:space="0" w:color="auto"/>
                  </w:divBdr>
                </w:div>
              </w:divsChild>
            </w:div>
            <w:div w:id="182090650">
              <w:marLeft w:val="0"/>
              <w:marRight w:val="0"/>
              <w:marTop w:val="0"/>
              <w:marBottom w:val="0"/>
              <w:divBdr>
                <w:top w:val="none" w:sz="0" w:space="0" w:color="auto"/>
                <w:left w:val="none" w:sz="0" w:space="0" w:color="auto"/>
                <w:bottom w:val="none" w:sz="0" w:space="0" w:color="auto"/>
                <w:right w:val="none" w:sz="0" w:space="0" w:color="auto"/>
              </w:divBdr>
              <w:divsChild>
                <w:div w:id="254869688">
                  <w:marLeft w:val="0"/>
                  <w:marRight w:val="0"/>
                  <w:marTop w:val="0"/>
                  <w:marBottom w:val="0"/>
                  <w:divBdr>
                    <w:top w:val="none" w:sz="0" w:space="0" w:color="auto"/>
                    <w:left w:val="none" w:sz="0" w:space="0" w:color="auto"/>
                    <w:bottom w:val="none" w:sz="0" w:space="0" w:color="auto"/>
                    <w:right w:val="none" w:sz="0" w:space="0" w:color="auto"/>
                  </w:divBdr>
                </w:div>
              </w:divsChild>
            </w:div>
            <w:div w:id="691566438">
              <w:marLeft w:val="0"/>
              <w:marRight w:val="0"/>
              <w:marTop w:val="0"/>
              <w:marBottom w:val="0"/>
              <w:divBdr>
                <w:top w:val="none" w:sz="0" w:space="0" w:color="auto"/>
                <w:left w:val="none" w:sz="0" w:space="0" w:color="auto"/>
                <w:bottom w:val="none" w:sz="0" w:space="0" w:color="auto"/>
                <w:right w:val="none" w:sz="0" w:space="0" w:color="auto"/>
              </w:divBdr>
              <w:divsChild>
                <w:div w:id="1711177715">
                  <w:marLeft w:val="0"/>
                  <w:marRight w:val="0"/>
                  <w:marTop w:val="0"/>
                  <w:marBottom w:val="0"/>
                  <w:divBdr>
                    <w:top w:val="none" w:sz="0" w:space="0" w:color="auto"/>
                    <w:left w:val="none" w:sz="0" w:space="0" w:color="auto"/>
                    <w:bottom w:val="none" w:sz="0" w:space="0" w:color="auto"/>
                    <w:right w:val="none" w:sz="0" w:space="0" w:color="auto"/>
                  </w:divBdr>
                </w:div>
              </w:divsChild>
            </w:div>
            <w:div w:id="1769808799">
              <w:marLeft w:val="0"/>
              <w:marRight w:val="0"/>
              <w:marTop w:val="0"/>
              <w:marBottom w:val="0"/>
              <w:divBdr>
                <w:top w:val="none" w:sz="0" w:space="0" w:color="auto"/>
                <w:left w:val="none" w:sz="0" w:space="0" w:color="auto"/>
                <w:bottom w:val="none" w:sz="0" w:space="0" w:color="auto"/>
                <w:right w:val="none" w:sz="0" w:space="0" w:color="auto"/>
              </w:divBdr>
              <w:divsChild>
                <w:div w:id="1073041066">
                  <w:marLeft w:val="0"/>
                  <w:marRight w:val="0"/>
                  <w:marTop w:val="0"/>
                  <w:marBottom w:val="0"/>
                  <w:divBdr>
                    <w:top w:val="none" w:sz="0" w:space="0" w:color="auto"/>
                    <w:left w:val="none" w:sz="0" w:space="0" w:color="auto"/>
                    <w:bottom w:val="none" w:sz="0" w:space="0" w:color="auto"/>
                    <w:right w:val="none" w:sz="0" w:space="0" w:color="auto"/>
                  </w:divBdr>
                </w:div>
              </w:divsChild>
            </w:div>
            <w:div w:id="344019760">
              <w:marLeft w:val="0"/>
              <w:marRight w:val="0"/>
              <w:marTop w:val="0"/>
              <w:marBottom w:val="0"/>
              <w:divBdr>
                <w:top w:val="none" w:sz="0" w:space="0" w:color="auto"/>
                <w:left w:val="none" w:sz="0" w:space="0" w:color="auto"/>
                <w:bottom w:val="none" w:sz="0" w:space="0" w:color="auto"/>
                <w:right w:val="none" w:sz="0" w:space="0" w:color="auto"/>
              </w:divBdr>
              <w:divsChild>
                <w:div w:id="516891104">
                  <w:marLeft w:val="0"/>
                  <w:marRight w:val="0"/>
                  <w:marTop w:val="0"/>
                  <w:marBottom w:val="0"/>
                  <w:divBdr>
                    <w:top w:val="none" w:sz="0" w:space="0" w:color="auto"/>
                    <w:left w:val="none" w:sz="0" w:space="0" w:color="auto"/>
                    <w:bottom w:val="none" w:sz="0" w:space="0" w:color="auto"/>
                    <w:right w:val="none" w:sz="0" w:space="0" w:color="auto"/>
                  </w:divBdr>
                </w:div>
              </w:divsChild>
            </w:div>
            <w:div w:id="1173304411">
              <w:marLeft w:val="0"/>
              <w:marRight w:val="0"/>
              <w:marTop w:val="0"/>
              <w:marBottom w:val="0"/>
              <w:divBdr>
                <w:top w:val="none" w:sz="0" w:space="0" w:color="auto"/>
                <w:left w:val="none" w:sz="0" w:space="0" w:color="auto"/>
                <w:bottom w:val="none" w:sz="0" w:space="0" w:color="auto"/>
                <w:right w:val="none" w:sz="0" w:space="0" w:color="auto"/>
              </w:divBdr>
              <w:divsChild>
                <w:div w:id="1784223754">
                  <w:marLeft w:val="0"/>
                  <w:marRight w:val="0"/>
                  <w:marTop w:val="0"/>
                  <w:marBottom w:val="0"/>
                  <w:divBdr>
                    <w:top w:val="none" w:sz="0" w:space="0" w:color="auto"/>
                    <w:left w:val="none" w:sz="0" w:space="0" w:color="auto"/>
                    <w:bottom w:val="none" w:sz="0" w:space="0" w:color="auto"/>
                    <w:right w:val="none" w:sz="0" w:space="0" w:color="auto"/>
                  </w:divBdr>
                </w:div>
              </w:divsChild>
            </w:div>
            <w:div w:id="1623727840">
              <w:marLeft w:val="0"/>
              <w:marRight w:val="0"/>
              <w:marTop w:val="0"/>
              <w:marBottom w:val="0"/>
              <w:divBdr>
                <w:top w:val="none" w:sz="0" w:space="0" w:color="auto"/>
                <w:left w:val="none" w:sz="0" w:space="0" w:color="auto"/>
                <w:bottom w:val="none" w:sz="0" w:space="0" w:color="auto"/>
                <w:right w:val="none" w:sz="0" w:space="0" w:color="auto"/>
              </w:divBdr>
              <w:divsChild>
                <w:div w:id="823476871">
                  <w:marLeft w:val="0"/>
                  <w:marRight w:val="0"/>
                  <w:marTop w:val="0"/>
                  <w:marBottom w:val="0"/>
                  <w:divBdr>
                    <w:top w:val="none" w:sz="0" w:space="0" w:color="auto"/>
                    <w:left w:val="none" w:sz="0" w:space="0" w:color="auto"/>
                    <w:bottom w:val="none" w:sz="0" w:space="0" w:color="auto"/>
                    <w:right w:val="none" w:sz="0" w:space="0" w:color="auto"/>
                  </w:divBdr>
                </w:div>
                <w:div w:id="1260142559">
                  <w:marLeft w:val="0"/>
                  <w:marRight w:val="0"/>
                  <w:marTop w:val="0"/>
                  <w:marBottom w:val="0"/>
                  <w:divBdr>
                    <w:top w:val="none" w:sz="0" w:space="0" w:color="auto"/>
                    <w:left w:val="none" w:sz="0" w:space="0" w:color="auto"/>
                    <w:bottom w:val="none" w:sz="0" w:space="0" w:color="auto"/>
                    <w:right w:val="none" w:sz="0" w:space="0" w:color="auto"/>
                  </w:divBdr>
                </w:div>
              </w:divsChild>
            </w:div>
            <w:div w:id="1814172933">
              <w:marLeft w:val="0"/>
              <w:marRight w:val="0"/>
              <w:marTop w:val="0"/>
              <w:marBottom w:val="0"/>
              <w:divBdr>
                <w:top w:val="none" w:sz="0" w:space="0" w:color="auto"/>
                <w:left w:val="none" w:sz="0" w:space="0" w:color="auto"/>
                <w:bottom w:val="none" w:sz="0" w:space="0" w:color="auto"/>
                <w:right w:val="none" w:sz="0" w:space="0" w:color="auto"/>
              </w:divBdr>
              <w:divsChild>
                <w:div w:id="87654318">
                  <w:marLeft w:val="0"/>
                  <w:marRight w:val="0"/>
                  <w:marTop w:val="0"/>
                  <w:marBottom w:val="0"/>
                  <w:divBdr>
                    <w:top w:val="none" w:sz="0" w:space="0" w:color="auto"/>
                    <w:left w:val="none" w:sz="0" w:space="0" w:color="auto"/>
                    <w:bottom w:val="none" w:sz="0" w:space="0" w:color="auto"/>
                    <w:right w:val="none" w:sz="0" w:space="0" w:color="auto"/>
                  </w:divBdr>
                </w:div>
              </w:divsChild>
            </w:div>
            <w:div w:id="108859158">
              <w:marLeft w:val="0"/>
              <w:marRight w:val="0"/>
              <w:marTop w:val="0"/>
              <w:marBottom w:val="0"/>
              <w:divBdr>
                <w:top w:val="none" w:sz="0" w:space="0" w:color="auto"/>
                <w:left w:val="none" w:sz="0" w:space="0" w:color="auto"/>
                <w:bottom w:val="none" w:sz="0" w:space="0" w:color="auto"/>
                <w:right w:val="none" w:sz="0" w:space="0" w:color="auto"/>
              </w:divBdr>
            </w:div>
            <w:div w:id="2903629">
              <w:marLeft w:val="0"/>
              <w:marRight w:val="0"/>
              <w:marTop w:val="0"/>
              <w:marBottom w:val="0"/>
              <w:divBdr>
                <w:top w:val="none" w:sz="0" w:space="0" w:color="auto"/>
                <w:left w:val="none" w:sz="0" w:space="0" w:color="auto"/>
                <w:bottom w:val="none" w:sz="0" w:space="0" w:color="auto"/>
                <w:right w:val="none" w:sz="0" w:space="0" w:color="auto"/>
              </w:divBdr>
              <w:divsChild>
                <w:div w:id="951791322">
                  <w:marLeft w:val="0"/>
                  <w:marRight w:val="0"/>
                  <w:marTop w:val="0"/>
                  <w:marBottom w:val="0"/>
                  <w:divBdr>
                    <w:top w:val="none" w:sz="0" w:space="0" w:color="auto"/>
                    <w:left w:val="none" w:sz="0" w:space="0" w:color="auto"/>
                    <w:bottom w:val="none" w:sz="0" w:space="0" w:color="auto"/>
                    <w:right w:val="none" w:sz="0" w:space="0" w:color="auto"/>
                  </w:divBdr>
                </w:div>
              </w:divsChild>
            </w:div>
            <w:div w:id="1167786658">
              <w:marLeft w:val="0"/>
              <w:marRight w:val="0"/>
              <w:marTop w:val="0"/>
              <w:marBottom w:val="0"/>
              <w:divBdr>
                <w:top w:val="none" w:sz="0" w:space="0" w:color="auto"/>
                <w:left w:val="none" w:sz="0" w:space="0" w:color="auto"/>
                <w:bottom w:val="none" w:sz="0" w:space="0" w:color="auto"/>
                <w:right w:val="none" w:sz="0" w:space="0" w:color="auto"/>
              </w:divBdr>
              <w:divsChild>
                <w:div w:id="3942755">
                  <w:marLeft w:val="0"/>
                  <w:marRight w:val="0"/>
                  <w:marTop w:val="0"/>
                  <w:marBottom w:val="0"/>
                  <w:divBdr>
                    <w:top w:val="none" w:sz="0" w:space="0" w:color="auto"/>
                    <w:left w:val="none" w:sz="0" w:space="0" w:color="auto"/>
                    <w:bottom w:val="none" w:sz="0" w:space="0" w:color="auto"/>
                    <w:right w:val="none" w:sz="0" w:space="0" w:color="auto"/>
                  </w:divBdr>
                </w:div>
              </w:divsChild>
            </w:div>
            <w:div w:id="1241714066">
              <w:marLeft w:val="0"/>
              <w:marRight w:val="0"/>
              <w:marTop w:val="0"/>
              <w:marBottom w:val="0"/>
              <w:divBdr>
                <w:top w:val="none" w:sz="0" w:space="0" w:color="auto"/>
                <w:left w:val="none" w:sz="0" w:space="0" w:color="auto"/>
                <w:bottom w:val="none" w:sz="0" w:space="0" w:color="auto"/>
                <w:right w:val="none" w:sz="0" w:space="0" w:color="auto"/>
              </w:divBdr>
              <w:divsChild>
                <w:div w:id="2086799266">
                  <w:marLeft w:val="0"/>
                  <w:marRight w:val="0"/>
                  <w:marTop w:val="0"/>
                  <w:marBottom w:val="0"/>
                  <w:divBdr>
                    <w:top w:val="none" w:sz="0" w:space="0" w:color="auto"/>
                    <w:left w:val="none" w:sz="0" w:space="0" w:color="auto"/>
                    <w:bottom w:val="none" w:sz="0" w:space="0" w:color="auto"/>
                    <w:right w:val="none" w:sz="0" w:space="0" w:color="auto"/>
                  </w:divBdr>
                </w:div>
              </w:divsChild>
            </w:div>
            <w:div w:id="79766168">
              <w:marLeft w:val="0"/>
              <w:marRight w:val="0"/>
              <w:marTop w:val="0"/>
              <w:marBottom w:val="0"/>
              <w:divBdr>
                <w:top w:val="none" w:sz="0" w:space="0" w:color="auto"/>
                <w:left w:val="none" w:sz="0" w:space="0" w:color="auto"/>
                <w:bottom w:val="none" w:sz="0" w:space="0" w:color="auto"/>
                <w:right w:val="none" w:sz="0" w:space="0" w:color="auto"/>
              </w:divBdr>
              <w:divsChild>
                <w:div w:id="812793620">
                  <w:marLeft w:val="0"/>
                  <w:marRight w:val="0"/>
                  <w:marTop w:val="0"/>
                  <w:marBottom w:val="0"/>
                  <w:divBdr>
                    <w:top w:val="none" w:sz="0" w:space="0" w:color="auto"/>
                    <w:left w:val="none" w:sz="0" w:space="0" w:color="auto"/>
                    <w:bottom w:val="none" w:sz="0" w:space="0" w:color="auto"/>
                    <w:right w:val="none" w:sz="0" w:space="0" w:color="auto"/>
                  </w:divBdr>
                </w:div>
              </w:divsChild>
            </w:div>
            <w:div w:id="133180978">
              <w:marLeft w:val="0"/>
              <w:marRight w:val="0"/>
              <w:marTop w:val="0"/>
              <w:marBottom w:val="0"/>
              <w:divBdr>
                <w:top w:val="none" w:sz="0" w:space="0" w:color="auto"/>
                <w:left w:val="none" w:sz="0" w:space="0" w:color="auto"/>
                <w:bottom w:val="none" w:sz="0" w:space="0" w:color="auto"/>
                <w:right w:val="none" w:sz="0" w:space="0" w:color="auto"/>
              </w:divBdr>
              <w:divsChild>
                <w:div w:id="1039286320">
                  <w:marLeft w:val="0"/>
                  <w:marRight w:val="0"/>
                  <w:marTop w:val="0"/>
                  <w:marBottom w:val="0"/>
                  <w:divBdr>
                    <w:top w:val="none" w:sz="0" w:space="0" w:color="auto"/>
                    <w:left w:val="none" w:sz="0" w:space="0" w:color="auto"/>
                    <w:bottom w:val="none" w:sz="0" w:space="0" w:color="auto"/>
                    <w:right w:val="none" w:sz="0" w:space="0" w:color="auto"/>
                  </w:divBdr>
                </w:div>
              </w:divsChild>
            </w:div>
            <w:div w:id="946933419">
              <w:marLeft w:val="0"/>
              <w:marRight w:val="0"/>
              <w:marTop w:val="0"/>
              <w:marBottom w:val="0"/>
              <w:divBdr>
                <w:top w:val="none" w:sz="0" w:space="0" w:color="auto"/>
                <w:left w:val="none" w:sz="0" w:space="0" w:color="auto"/>
                <w:bottom w:val="none" w:sz="0" w:space="0" w:color="auto"/>
                <w:right w:val="none" w:sz="0" w:space="0" w:color="auto"/>
              </w:divBdr>
              <w:divsChild>
                <w:div w:id="1093747354">
                  <w:marLeft w:val="0"/>
                  <w:marRight w:val="0"/>
                  <w:marTop w:val="0"/>
                  <w:marBottom w:val="0"/>
                  <w:divBdr>
                    <w:top w:val="none" w:sz="0" w:space="0" w:color="auto"/>
                    <w:left w:val="none" w:sz="0" w:space="0" w:color="auto"/>
                    <w:bottom w:val="none" w:sz="0" w:space="0" w:color="auto"/>
                    <w:right w:val="none" w:sz="0" w:space="0" w:color="auto"/>
                  </w:divBdr>
                </w:div>
              </w:divsChild>
            </w:div>
            <w:div w:id="446781421">
              <w:marLeft w:val="0"/>
              <w:marRight w:val="0"/>
              <w:marTop w:val="0"/>
              <w:marBottom w:val="0"/>
              <w:divBdr>
                <w:top w:val="none" w:sz="0" w:space="0" w:color="auto"/>
                <w:left w:val="none" w:sz="0" w:space="0" w:color="auto"/>
                <w:bottom w:val="none" w:sz="0" w:space="0" w:color="auto"/>
                <w:right w:val="none" w:sz="0" w:space="0" w:color="auto"/>
              </w:divBdr>
              <w:divsChild>
                <w:div w:id="1054425096">
                  <w:marLeft w:val="0"/>
                  <w:marRight w:val="0"/>
                  <w:marTop w:val="0"/>
                  <w:marBottom w:val="0"/>
                  <w:divBdr>
                    <w:top w:val="none" w:sz="0" w:space="0" w:color="auto"/>
                    <w:left w:val="none" w:sz="0" w:space="0" w:color="auto"/>
                    <w:bottom w:val="none" w:sz="0" w:space="0" w:color="auto"/>
                    <w:right w:val="none" w:sz="0" w:space="0" w:color="auto"/>
                  </w:divBdr>
                </w:div>
              </w:divsChild>
            </w:div>
            <w:div w:id="663363982">
              <w:marLeft w:val="0"/>
              <w:marRight w:val="0"/>
              <w:marTop w:val="0"/>
              <w:marBottom w:val="0"/>
              <w:divBdr>
                <w:top w:val="none" w:sz="0" w:space="0" w:color="auto"/>
                <w:left w:val="none" w:sz="0" w:space="0" w:color="auto"/>
                <w:bottom w:val="none" w:sz="0" w:space="0" w:color="auto"/>
                <w:right w:val="none" w:sz="0" w:space="0" w:color="auto"/>
              </w:divBdr>
              <w:divsChild>
                <w:div w:id="1346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4556">
      <w:bodyDiv w:val="1"/>
      <w:marLeft w:val="0"/>
      <w:marRight w:val="0"/>
      <w:marTop w:val="0"/>
      <w:marBottom w:val="0"/>
      <w:divBdr>
        <w:top w:val="none" w:sz="0" w:space="0" w:color="auto"/>
        <w:left w:val="none" w:sz="0" w:space="0" w:color="auto"/>
        <w:bottom w:val="none" w:sz="0" w:space="0" w:color="auto"/>
        <w:right w:val="none" w:sz="0" w:space="0" w:color="auto"/>
      </w:divBdr>
    </w:div>
    <w:div w:id="14953384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7682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CF0DC-0DA7-4863-BCD2-E38BDCAD5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1F2A3-EB14-4C90-9830-F0E5E974DA85}">
  <ds:schemaRefs>
    <ds:schemaRef ds:uri="http://schemas.microsoft.com/office/2006/metadata/properties"/>
    <ds:schemaRef ds:uri="2f282d3b-eb4a-4b09-b61f-b9593442e286"/>
    <ds:schemaRef ds:uri="9b239327-9e80-40e4-b1b7-4394fed77a33"/>
    <ds:schemaRef ds:uri="http://schemas.microsoft.com/office/infopath/2007/PartnerControls"/>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3A9C65F-8A4E-4F5E-A038-A9AE8C7E72AE}">
  <ds:schemaRefs>
    <ds:schemaRef ds:uri="http://schemas.microsoft.com/sharepoint/v3/contenttype/forms"/>
  </ds:schemaRefs>
</ds:datastoreItem>
</file>

<file path=customXml/itemProps4.xml><?xml version="1.0" encoding="utf-8"?>
<ds:datastoreItem xmlns:ds="http://schemas.openxmlformats.org/officeDocument/2006/customXml" ds:itemID="{E1325F7E-8741-478E-A805-81CCD6FC1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5</Pages>
  <Words>1145</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Faxér</dc:creator>
  <cp:keywords/>
  <cp:lastModifiedBy>Sebastian Faxér</cp:lastModifiedBy>
  <cp:revision>84</cp:revision>
  <dcterms:created xsi:type="dcterms:W3CDTF">2019-10-01T13:22:00Z</dcterms:created>
  <dcterms:modified xsi:type="dcterms:W3CDTF">2019-11-08T15:20:00Z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